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C8" w:rsidRDefault="00201463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br/>
      </w:r>
      <w:r>
        <w:rPr>
          <w:noProof/>
          <w:lang w:val="uk-UA" w:eastAsia="uk-UA"/>
        </w:rPr>
        <w:drawing>
          <wp:inline distT="0" distB="0" distL="114300" distR="114300">
            <wp:extent cx="600075" cy="6953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/>
                      <a:extLst>
                        <a:ext uri="smNativeData">
                          <sm:smNativeData xmlns:cx1="http://schemas.microsoft.com/office/drawing/2015/9/8/chartex" xmlns:sm="smNativeData" xmlns:w="http://schemas.openxmlformats.org/wordprocessingml/2006/main" xmlns:w10="urn:schemas-microsoft-com:office:word" xmlns:v="urn:schemas-microsoft-com:vml" xmlns:o="urn:schemas-microsoft-com:office:office" xmlns="" val="SMDATA_14_MVJb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ogAAAAAAAAAAAAAAAAAAAgAAAEARAAAAAAAAAgAAAAAAAACxAwAARwQAAAAAAADlFwAAegM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703FC8" w:rsidRDefault="00201463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ЗАЗИМСЬКА СІЛЬСЬКА РАДА</w:t>
      </w:r>
    </w:p>
    <w:p w:rsidR="00703FC8" w:rsidRDefault="0020146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БРОВАРСЬКОГО РАЙОНУ КИЇВСЬКОЇ ОБЛАСТІ</w:t>
      </w:r>
    </w:p>
    <w:p w:rsidR="00703FC8" w:rsidRDefault="00703FC8">
      <w:pPr>
        <w:rPr>
          <w:sz w:val="16"/>
          <w:szCs w:val="16"/>
          <w:lang w:val="uk-UA"/>
        </w:rPr>
      </w:pPr>
    </w:p>
    <w:p w:rsidR="00703FC8" w:rsidRDefault="0020146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РІШЕННЯ</w:t>
      </w:r>
    </w:p>
    <w:p w:rsidR="00703FC8" w:rsidRDefault="00703FC8">
      <w:pPr>
        <w:jc w:val="center"/>
        <w:rPr>
          <w:b/>
          <w:szCs w:val="28"/>
          <w:lang w:val="uk-UA"/>
        </w:rPr>
      </w:pPr>
    </w:p>
    <w:p w:rsidR="00703FC8" w:rsidRDefault="0020146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внесення змін до структури комунального закладу «Центр культури, дозвілля та спорту» Зазимської сільської ради Броварського району Київської області </w:t>
      </w:r>
    </w:p>
    <w:p w:rsidR="00703FC8" w:rsidRDefault="00703FC8">
      <w:pPr>
        <w:jc w:val="center"/>
        <w:rPr>
          <w:b/>
          <w:szCs w:val="28"/>
          <w:lang w:val="uk-UA"/>
        </w:rPr>
      </w:pPr>
    </w:p>
    <w:p w:rsidR="00703FC8" w:rsidRDefault="00703FC8">
      <w:pPr>
        <w:jc w:val="both"/>
        <w:rPr>
          <w:b/>
          <w:sz w:val="12"/>
          <w:szCs w:val="12"/>
          <w:lang w:val="uk-UA"/>
        </w:rPr>
      </w:pPr>
    </w:p>
    <w:p w:rsidR="00703FC8" w:rsidRDefault="00201463">
      <w:pPr>
        <w:ind w:firstLine="567"/>
        <w:jc w:val="both"/>
        <w:rPr>
          <w:lang w:val="uk-UA"/>
        </w:rPr>
      </w:pPr>
      <w:r>
        <w:rPr>
          <w:lang w:val="uk-UA"/>
        </w:rPr>
        <w:t xml:space="preserve">Керуючись ст.26, ч. 1 ст. 59 Закону України «Про місцеве самоврядування в Україні», розглянувши звернення директора комунального закладу «Центр культури, дозвілля та спорту» Зазимської сільської ради Броварського району Київської області </w:t>
      </w:r>
      <w:proofErr w:type="spellStart"/>
      <w:r>
        <w:rPr>
          <w:lang w:val="uk-UA"/>
        </w:rPr>
        <w:t>Кожушко</w:t>
      </w:r>
      <w:proofErr w:type="spellEnd"/>
      <w:r>
        <w:rPr>
          <w:lang w:val="uk-UA"/>
        </w:rPr>
        <w:t xml:space="preserve"> В. Б., щодо внесення змін до структури комунального закладу, враховуючи рекомендації постійних комісій з питань 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>
        <w:rPr>
          <w:lang w:val="uk-UA"/>
        </w:rPr>
        <w:t>зв’язків</w:t>
      </w:r>
      <w:proofErr w:type="spellEnd"/>
      <w:r>
        <w:rPr>
          <w:lang w:val="uk-UA"/>
        </w:rPr>
        <w:t>, Зазимська сільська рада</w:t>
      </w:r>
    </w:p>
    <w:p w:rsidR="00703FC8" w:rsidRDefault="00703FC8">
      <w:pPr>
        <w:ind w:firstLine="567"/>
        <w:jc w:val="both"/>
        <w:rPr>
          <w:sz w:val="10"/>
          <w:szCs w:val="10"/>
          <w:lang w:val="uk-UA"/>
        </w:rPr>
      </w:pPr>
    </w:p>
    <w:p w:rsidR="00703FC8" w:rsidRDefault="00201463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703FC8" w:rsidRDefault="00703FC8">
      <w:pPr>
        <w:ind w:firstLine="567"/>
        <w:jc w:val="center"/>
        <w:rPr>
          <w:b/>
          <w:lang w:val="uk-UA"/>
        </w:rPr>
      </w:pPr>
    </w:p>
    <w:p w:rsidR="00703FC8" w:rsidRDefault="00201463" w:rsidP="00264BE0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Внести</w:t>
      </w:r>
      <w:proofErr w:type="spellEnd"/>
      <w:r>
        <w:rPr>
          <w:szCs w:val="28"/>
          <w:lang w:val="uk-UA"/>
        </w:rPr>
        <w:t xml:space="preserve"> зміни до структури комунального закладу «Центр культури, дозвілля та спорту» Зазимської сільської ради Броварського району Київської області виклавши у новій редакції, згідно додатку 1. (додається).</w:t>
      </w:r>
    </w:p>
    <w:p w:rsidR="00703FC8" w:rsidRPr="00264BE0" w:rsidRDefault="00201463" w:rsidP="00264BE0">
      <w:pPr>
        <w:pStyle w:val="aa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Cs w:val="28"/>
          <w:lang w:val="uk-UA"/>
        </w:rPr>
      </w:pPr>
      <w:r w:rsidRPr="00264BE0">
        <w:rPr>
          <w:szCs w:val="28"/>
          <w:lang w:val="uk-UA"/>
        </w:rPr>
        <w:t>Затвердити загальну чисельність працівників Комунального закладу «Центр культури, дозвілля та спорту»  Зазимської сільської ради Броварського району Київської області у кількості 44,25 штатних одиниць.</w:t>
      </w:r>
    </w:p>
    <w:p w:rsidR="00703FC8" w:rsidRPr="00264BE0" w:rsidRDefault="00201463" w:rsidP="00264BE0">
      <w:pPr>
        <w:pStyle w:val="aa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Cs w:val="28"/>
          <w:lang w:val="uk-UA"/>
        </w:rPr>
      </w:pPr>
      <w:r w:rsidRPr="00264BE0">
        <w:rPr>
          <w:szCs w:val="28"/>
          <w:lang w:val="uk-UA"/>
        </w:rPr>
        <w:t>Надати право сільському голові вносити зміни до структури Комунального закладу «Центр</w:t>
      </w:r>
      <w:r w:rsidR="001A73B8">
        <w:rPr>
          <w:szCs w:val="28"/>
          <w:lang w:val="uk-UA"/>
        </w:rPr>
        <w:t xml:space="preserve"> культури, дозвілля та спорту» </w:t>
      </w:r>
      <w:bookmarkStart w:id="0" w:name="_GoBack"/>
      <w:bookmarkEnd w:id="0"/>
      <w:r w:rsidRPr="00264BE0">
        <w:rPr>
          <w:szCs w:val="28"/>
          <w:lang w:val="uk-UA"/>
        </w:rPr>
        <w:t>Зазимської сільської ради Броварського району Київської області в межах затвердженої чисельності працівників та витрат на утримання.</w:t>
      </w:r>
    </w:p>
    <w:p w:rsidR="00703FC8" w:rsidRPr="00264BE0" w:rsidRDefault="00201463" w:rsidP="00264BE0">
      <w:pPr>
        <w:pStyle w:val="aa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Cs w:val="28"/>
          <w:lang w:val="uk-UA"/>
        </w:rPr>
      </w:pPr>
      <w:r w:rsidRPr="00264BE0">
        <w:rPr>
          <w:szCs w:val="28"/>
          <w:lang w:val="uk-UA"/>
        </w:rPr>
        <w:t>Рішення набирає чинності з 01.03.2021 року.</w:t>
      </w:r>
    </w:p>
    <w:p w:rsidR="00703FC8" w:rsidRPr="00264BE0" w:rsidRDefault="00201463" w:rsidP="00264BE0">
      <w:pPr>
        <w:pStyle w:val="aa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Cs w:val="28"/>
          <w:lang w:val="uk-UA"/>
        </w:rPr>
      </w:pPr>
      <w:r w:rsidRPr="00264BE0">
        <w:rPr>
          <w:szCs w:val="28"/>
          <w:lang w:val="uk-UA"/>
        </w:rPr>
        <w:t xml:space="preserve">Контроль за виконанням цього рішення покласти на постійні комісії ради та з питань соціально-економічного розвитку, 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 w:rsidRPr="00264BE0">
        <w:rPr>
          <w:szCs w:val="28"/>
          <w:lang w:val="uk-UA"/>
        </w:rPr>
        <w:t>зв'язків</w:t>
      </w:r>
      <w:proofErr w:type="spellEnd"/>
      <w:r w:rsidRPr="00264BE0">
        <w:rPr>
          <w:szCs w:val="28"/>
          <w:lang w:val="uk-UA"/>
        </w:rPr>
        <w:t xml:space="preserve"> та з питань регламенту, депутатської етики, законності, правопорядку, забезпечення діяльності депутатів, розвитку і вдосконалення місцевого самоврядування, запобігання корупції.</w:t>
      </w:r>
    </w:p>
    <w:p w:rsidR="00703FC8" w:rsidRDefault="00703FC8" w:rsidP="00264BE0">
      <w:pPr>
        <w:tabs>
          <w:tab w:val="left" w:pos="1134"/>
        </w:tabs>
        <w:ind w:firstLine="567"/>
        <w:jc w:val="both"/>
        <w:rPr>
          <w:szCs w:val="28"/>
          <w:lang w:val="uk-UA"/>
        </w:rPr>
      </w:pPr>
    </w:p>
    <w:p w:rsidR="00703FC8" w:rsidRDefault="00201463">
      <w:pPr>
        <w:tabs>
          <w:tab w:val="left" w:pos="6946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Сільський голова</w:t>
      </w:r>
      <w:r>
        <w:rPr>
          <w:b/>
          <w:szCs w:val="28"/>
          <w:lang w:val="uk-UA"/>
        </w:rPr>
        <w:tab/>
        <w:t>Віталій КРУПЕНКО</w:t>
      </w:r>
    </w:p>
    <w:p w:rsidR="00703FC8" w:rsidRDefault="00703FC8">
      <w:pPr>
        <w:jc w:val="both"/>
        <w:rPr>
          <w:sz w:val="14"/>
          <w:szCs w:val="14"/>
          <w:lang w:val="uk-UA"/>
        </w:rPr>
      </w:pPr>
    </w:p>
    <w:p w:rsidR="00703FC8" w:rsidRDefault="00201463">
      <w:pPr>
        <w:jc w:val="both"/>
        <w:rPr>
          <w:szCs w:val="28"/>
          <w:lang w:val="uk-UA"/>
        </w:rPr>
      </w:pPr>
      <w:r>
        <w:rPr>
          <w:szCs w:val="28"/>
          <w:lang w:val="en-US"/>
        </w:rPr>
        <w:t>c</w:t>
      </w:r>
      <w:r w:rsidR="00264BE0">
        <w:rPr>
          <w:szCs w:val="28"/>
          <w:lang w:val="uk-UA"/>
        </w:rPr>
        <w:t>. Зазим'я</w:t>
      </w:r>
    </w:p>
    <w:p w:rsidR="00703FC8" w:rsidRDefault="0020146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23 березня 2021 року</w:t>
      </w:r>
    </w:p>
    <w:p w:rsidR="00703FC8" w:rsidRPr="00264BE0" w:rsidRDefault="0020146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№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>792 -08-</w:t>
      </w:r>
      <w:r>
        <w:rPr>
          <w:szCs w:val="28"/>
          <w:lang w:val="en-US"/>
        </w:rPr>
        <w:t>VIII</w:t>
      </w:r>
    </w:p>
    <w:p w:rsidR="00703FC8" w:rsidRDefault="00201463">
      <w:pPr>
        <w:tabs>
          <w:tab w:val="left" w:pos="4962"/>
        </w:tabs>
        <w:ind w:left="4962"/>
        <w:rPr>
          <w:szCs w:val="28"/>
          <w:lang w:val="uk-UA"/>
        </w:rPr>
      </w:pPr>
      <w:r>
        <w:rPr>
          <w:szCs w:val="28"/>
          <w:lang w:val="uk-UA"/>
        </w:rPr>
        <w:lastRenderedPageBreak/>
        <w:t>Додаток 1</w:t>
      </w:r>
    </w:p>
    <w:p w:rsidR="00703FC8" w:rsidRDefault="00201463">
      <w:pPr>
        <w:tabs>
          <w:tab w:val="left" w:pos="4962"/>
        </w:tabs>
        <w:ind w:left="4962"/>
        <w:jc w:val="both"/>
        <w:rPr>
          <w:szCs w:val="28"/>
          <w:lang w:val="uk-UA"/>
        </w:rPr>
      </w:pPr>
      <w:r>
        <w:rPr>
          <w:szCs w:val="28"/>
          <w:lang w:val="uk-UA"/>
        </w:rPr>
        <w:t>до рішення 08 сесії</w:t>
      </w:r>
    </w:p>
    <w:p w:rsidR="00703FC8" w:rsidRDefault="00201463">
      <w:pPr>
        <w:tabs>
          <w:tab w:val="left" w:pos="4962"/>
        </w:tabs>
        <w:ind w:left="4962"/>
        <w:jc w:val="both"/>
        <w:rPr>
          <w:szCs w:val="28"/>
          <w:lang w:val="uk-UA"/>
        </w:rPr>
      </w:pPr>
      <w:r>
        <w:rPr>
          <w:szCs w:val="28"/>
          <w:lang w:val="uk-UA"/>
        </w:rPr>
        <w:t>Зазимської сільської ради</w:t>
      </w:r>
    </w:p>
    <w:p w:rsidR="00703FC8" w:rsidRDefault="00201463">
      <w:pPr>
        <w:tabs>
          <w:tab w:val="left" w:pos="4962"/>
        </w:tabs>
        <w:ind w:left="496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VІІІ скликання </w:t>
      </w:r>
    </w:p>
    <w:p w:rsidR="00703FC8" w:rsidRDefault="00201463">
      <w:pPr>
        <w:tabs>
          <w:tab w:val="left" w:pos="4962"/>
        </w:tabs>
        <w:ind w:left="4962"/>
        <w:jc w:val="both"/>
        <w:rPr>
          <w:szCs w:val="28"/>
          <w:lang w:val="uk-UA"/>
        </w:rPr>
      </w:pPr>
      <w:r>
        <w:rPr>
          <w:szCs w:val="28"/>
          <w:lang w:val="uk-UA"/>
        </w:rPr>
        <w:t>від 23.03.2021 р. № 792</w:t>
      </w:r>
    </w:p>
    <w:p w:rsidR="00703FC8" w:rsidRDefault="00703FC8">
      <w:pPr>
        <w:jc w:val="center"/>
        <w:rPr>
          <w:b/>
          <w:szCs w:val="28"/>
          <w:lang w:val="uk-UA"/>
        </w:rPr>
      </w:pPr>
    </w:p>
    <w:p w:rsidR="00703FC8" w:rsidRDefault="0020146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Структура та загальна чисельності працівників </w:t>
      </w:r>
    </w:p>
    <w:p w:rsidR="00703FC8" w:rsidRDefault="0020146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Комунального закладу «Центр культури, дозвілля та спорту»  Зазимської сільської ради Броварського району Київської області </w:t>
      </w:r>
    </w:p>
    <w:p w:rsidR="00703FC8" w:rsidRDefault="00703FC8">
      <w:pPr>
        <w:jc w:val="center"/>
        <w:rPr>
          <w:szCs w:val="28"/>
          <w:lang w:val="uk-UA"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840"/>
        <w:gridCol w:w="6160"/>
        <w:gridCol w:w="2260"/>
      </w:tblGrid>
      <w:tr w:rsidR="00703FC8">
        <w:trPr>
          <w:trHeight w:val="112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№ з/п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Назви структурних підрозділів та посад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Кількість штатних одиниць</w:t>
            </w:r>
          </w:p>
        </w:tc>
      </w:tr>
      <w:tr w:rsidR="00703FC8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3</w:t>
            </w:r>
          </w:p>
        </w:tc>
      </w:tr>
      <w:tr w:rsidR="00703FC8">
        <w:trPr>
          <w:trHeight w:val="45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Керівний склад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4</w:t>
            </w:r>
          </w:p>
        </w:tc>
      </w:tr>
      <w:tr w:rsidR="00703FC8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Директор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703FC8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Заступник директора з організаційних питань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703FC8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Заступник директора з </w:t>
            </w:r>
            <w:proofErr w:type="spellStart"/>
            <w:r>
              <w:rPr>
                <w:color w:val="000000"/>
                <w:szCs w:val="28"/>
                <w:lang w:val="uk-UA"/>
              </w:rPr>
              <w:t>господаських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питань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703FC8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Головний бухгалтер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703FC8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 xml:space="preserve">2.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Відділ бібліотечної справи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6</w:t>
            </w:r>
          </w:p>
        </w:tc>
      </w:tr>
      <w:tr w:rsidR="00703FC8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Бібліотекар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5,5</w:t>
            </w:r>
          </w:p>
        </w:tc>
      </w:tr>
      <w:tr w:rsidR="00703FC8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3.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Відділ культури та мистецтва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18,5</w:t>
            </w:r>
          </w:p>
        </w:tc>
      </w:tr>
      <w:tr w:rsidR="00703FC8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Директор будинку культури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</w:t>
            </w:r>
          </w:p>
        </w:tc>
      </w:tr>
      <w:tr w:rsidR="00703FC8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Завідувач клубу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1,5</w:t>
            </w:r>
          </w:p>
        </w:tc>
      </w:tr>
      <w:tr w:rsidR="00703FC8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Художній керівник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5</w:t>
            </w:r>
          </w:p>
        </w:tc>
      </w:tr>
      <w:tr w:rsidR="00703FC8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Керівник гуртка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703FC8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Керівник колективу (зі званням)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</w:t>
            </w:r>
          </w:p>
        </w:tc>
      </w:tr>
      <w:tr w:rsidR="00703FC8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Акомпоніатор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703FC8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703FC8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Звукорежисер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703FC8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4.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Відділ фізичної культури та спорту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1</w:t>
            </w:r>
          </w:p>
        </w:tc>
      </w:tr>
      <w:tr w:rsidR="00703FC8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Інструктор з фізичної культури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703FC8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5.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Відділ матеріально-технічного господарського забезпечення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15,25</w:t>
            </w:r>
          </w:p>
        </w:tc>
      </w:tr>
      <w:tr w:rsidR="00703FC8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Водій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703FC8">
        <w:trPr>
          <w:trHeight w:val="46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6,75</w:t>
            </w:r>
          </w:p>
        </w:tc>
      </w:tr>
      <w:tr w:rsidR="00703FC8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Оператор котельні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6,5</w:t>
            </w:r>
          </w:p>
        </w:tc>
      </w:tr>
      <w:tr w:rsidR="00703FC8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Двірник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703FC8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right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Всього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FC8" w:rsidRDefault="0020146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44,25</w:t>
            </w:r>
          </w:p>
        </w:tc>
      </w:tr>
    </w:tbl>
    <w:p w:rsidR="00703FC8" w:rsidRDefault="00703FC8">
      <w:pPr>
        <w:tabs>
          <w:tab w:val="left" w:pos="613"/>
        </w:tabs>
        <w:spacing w:line="360" w:lineRule="auto"/>
        <w:jc w:val="center"/>
        <w:rPr>
          <w:color w:val="000000"/>
          <w:szCs w:val="28"/>
          <w:lang w:val="uk-UA"/>
        </w:rPr>
      </w:pPr>
    </w:p>
    <w:p w:rsidR="00703FC8" w:rsidRDefault="00264BE0" w:rsidP="00264BE0">
      <w:pPr>
        <w:tabs>
          <w:tab w:val="left" w:pos="613"/>
          <w:tab w:val="left" w:pos="6946"/>
        </w:tabs>
        <w:spacing w:before="10" w:line="360" w:lineRule="auto"/>
        <w:jc w:val="both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Сільський голова</w:t>
      </w:r>
      <w:r>
        <w:rPr>
          <w:b/>
          <w:color w:val="000000"/>
          <w:szCs w:val="28"/>
          <w:lang w:val="uk-UA"/>
        </w:rPr>
        <w:tab/>
      </w:r>
      <w:r w:rsidR="00201463">
        <w:rPr>
          <w:b/>
          <w:color w:val="000000"/>
          <w:szCs w:val="28"/>
          <w:lang w:val="uk-UA"/>
        </w:rPr>
        <w:t>Віталій КРУПЕНКО</w:t>
      </w:r>
    </w:p>
    <w:sectPr w:rsidR="00703FC8" w:rsidSect="00264BE0">
      <w:headerReference w:type="default" r:id="rId8"/>
      <w:endnotePr>
        <w:numFmt w:val="decimal"/>
      </w:endnotePr>
      <w:pgSz w:w="11906" w:h="16838"/>
      <w:pgMar w:top="567" w:right="567" w:bottom="851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7E3" w:rsidRDefault="00A777E3">
      <w:r>
        <w:separator/>
      </w:r>
    </w:p>
  </w:endnote>
  <w:endnote w:type="continuationSeparator" w:id="0">
    <w:p w:rsidR="00A777E3" w:rsidRDefault="00A7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TT">
    <w:altName w:val="Times New Roman"/>
    <w:charset w:val="CC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7E3" w:rsidRDefault="00A777E3">
      <w:r>
        <w:separator/>
      </w:r>
    </w:p>
  </w:footnote>
  <w:footnote w:type="continuationSeparator" w:id="0">
    <w:p w:rsidR="00A777E3" w:rsidRDefault="00A77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C8" w:rsidRDefault="00703FC8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95651"/>
    <w:multiLevelType w:val="hybridMultilevel"/>
    <w:tmpl w:val="4A38A5D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1726598"/>
    <w:multiLevelType w:val="hybridMultilevel"/>
    <w:tmpl w:val="91B4279A"/>
    <w:name w:val="Нумерованный список 1"/>
    <w:lvl w:ilvl="0" w:tplc="8DA0D018">
      <w:start w:val="1"/>
      <w:numFmt w:val="decimal"/>
      <w:lvlText w:val="%1."/>
      <w:lvlJc w:val="left"/>
      <w:pPr>
        <w:ind w:left="360" w:firstLine="0"/>
      </w:pPr>
      <w:rPr>
        <w:color w:val="auto"/>
      </w:rPr>
    </w:lvl>
    <w:lvl w:ilvl="1" w:tplc="A71ED760">
      <w:start w:val="1"/>
      <w:numFmt w:val="lowerLetter"/>
      <w:lvlText w:val="%2."/>
      <w:lvlJc w:val="left"/>
      <w:pPr>
        <w:ind w:left="1080" w:firstLine="0"/>
      </w:pPr>
    </w:lvl>
    <w:lvl w:ilvl="2" w:tplc="FC388894">
      <w:start w:val="1"/>
      <w:numFmt w:val="lowerRoman"/>
      <w:lvlText w:val="%3."/>
      <w:lvlJc w:val="left"/>
      <w:pPr>
        <w:ind w:left="1980" w:firstLine="0"/>
      </w:pPr>
    </w:lvl>
    <w:lvl w:ilvl="3" w:tplc="2BEE90D2">
      <w:start w:val="1"/>
      <w:numFmt w:val="decimal"/>
      <w:lvlText w:val="%4."/>
      <w:lvlJc w:val="left"/>
      <w:pPr>
        <w:ind w:left="2520" w:firstLine="0"/>
      </w:pPr>
    </w:lvl>
    <w:lvl w:ilvl="4" w:tplc="4260B82A">
      <w:start w:val="1"/>
      <w:numFmt w:val="lowerLetter"/>
      <w:lvlText w:val="%5."/>
      <w:lvlJc w:val="left"/>
      <w:pPr>
        <w:ind w:left="3240" w:firstLine="0"/>
      </w:pPr>
    </w:lvl>
    <w:lvl w:ilvl="5" w:tplc="C5E8EFBE">
      <w:start w:val="1"/>
      <w:numFmt w:val="lowerRoman"/>
      <w:lvlText w:val="%6."/>
      <w:lvlJc w:val="left"/>
      <w:pPr>
        <w:ind w:left="4140" w:firstLine="0"/>
      </w:pPr>
    </w:lvl>
    <w:lvl w:ilvl="6" w:tplc="EBB2C642">
      <w:start w:val="1"/>
      <w:numFmt w:val="decimal"/>
      <w:lvlText w:val="%7."/>
      <w:lvlJc w:val="left"/>
      <w:pPr>
        <w:ind w:left="4680" w:firstLine="0"/>
      </w:pPr>
    </w:lvl>
    <w:lvl w:ilvl="7" w:tplc="5566AA80">
      <w:start w:val="1"/>
      <w:numFmt w:val="lowerLetter"/>
      <w:lvlText w:val="%8."/>
      <w:lvlJc w:val="left"/>
      <w:pPr>
        <w:ind w:left="5400" w:firstLine="0"/>
      </w:pPr>
    </w:lvl>
    <w:lvl w:ilvl="8" w:tplc="9ACE447E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5DCE7BC0"/>
    <w:multiLevelType w:val="hybridMultilevel"/>
    <w:tmpl w:val="A286963A"/>
    <w:lvl w:ilvl="0" w:tplc="B824D85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92CC7B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C9A5EE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7C0499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CF8837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D06E4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7A4B22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1ECE01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B3419F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C8"/>
    <w:rsid w:val="001A73B8"/>
    <w:rsid w:val="00201463"/>
    <w:rsid w:val="00264BE0"/>
    <w:rsid w:val="00703FC8"/>
    <w:rsid w:val="00A777E3"/>
    <w:rsid w:val="00A907F8"/>
    <w:rsid w:val="00D9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B426"/>
  <w15:docId w15:val="{BA92CE20-3651-42B7-BD9D-2695FBBC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ttya-1">
    <w:name w:val="Stattya-1"/>
    <w:qFormat/>
    <w:pPr>
      <w:keepNext/>
      <w:widowControl w:val="0"/>
      <w:spacing w:line="240" w:lineRule="exact"/>
      <w:ind w:firstLine="283"/>
      <w:jc w:val="both"/>
    </w:pPr>
    <w:rPr>
      <w:sz w:val="24"/>
      <w:szCs w:val="24"/>
      <w:lang w:val="ru-RU"/>
    </w:rPr>
  </w:style>
  <w:style w:type="paragraph" w:customStyle="1" w:styleId="Rozdily">
    <w:name w:val="Rozdily"/>
    <w:qFormat/>
    <w:pPr>
      <w:keepNext/>
      <w:keepLines/>
      <w:widowControl w:val="0"/>
      <w:spacing w:before="113" w:line="240" w:lineRule="exact"/>
      <w:jc w:val="center"/>
    </w:pPr>
    <w:rPr>
      <w:sz w:val="24"/>
      <w:szCs w:val="24"/>
      <w:lang w:val="ru-RU"/>
    </w:rPr>
  </w:style>
  <w:style w:type="paragraph" w:customStyle="1" w:styleId="Header-Rozdil-Book">
    <w:name w:val="Header-Rozdil-Book"/>
    <w:qFormat/>
    <w:pPr>
      <w:keepNext/>
      <w:keepLines/>
      <w:widowControl w:val="0"/>
      <w:spacing w:before="567" w:line="560" w:lineRule="exact"/>
    </w:pPr>
    <w:rPr>
      <w:sz w:val="24"/>
      <w:szCs w:val="24"/>
      <w:lang w:val="ru-RU"/>
    </w:rPr>
  </w:style>
  <w:style w:type="paragraph" w:customStyle="1" w:styleId="Header-Lev-4">
    <w:name w:val="Header-Lev-4"/>
    <w:qFormat/>
    <w:pPr>
      <w:keepNext/>
      <w:keepLines/>
      <w:widowControl w:val="0"/>
      <w:spacing w:before="28" w:line="240" w:lineRule="exact"/>
      <w:ind w:left="283" w:right="567"/>
    </w:pPr>
    <w:rPr>
      <w:sz w:val="24"/>
      <w:szCs w:val="24"/>
      <w:lang w:val="ru-RU"/>
    </w:rPr>
  </w:style>
  <w:style w:type="paragraph" w:customStyle="1" w:styleId="Header-Lev-3">
    <w:name w:val="Header-Lev-3"/>
    <w:qFormat/>
    <w:pPr>
      <w:keepNext/>
      <w:keepLines/>
      <w:widowControl w:val="0"/>
      <w:spacing w:before="113" w:line="240" w:lineRule="exact"/>
      <w:ind w:left="283" w:right="567"/>
    </w:pPr>
    <w:rPr>
      <w:sz w:val="24"/>
      <w:szCs w:val="24"/>
      <w:lang w:val="ru-RU"/>
    </w:rPr>
  </w:style>
  <w:style w:type="paragraph" w:customStyle="1" w:styleId="Haeder-Lev-1">
    <w:name w:val="Haeder-Lev-1"/>
    <w:qFormat/>
    <w:pPr>
      <w:keepNext/>
      <w:keepLines/>
      <w:widowControl w:val="0"/>
      <w:spacing w:before="567" w:after="227" w:line="320" w:lineRule="exact"/>
      <w:ind w:left="283"/>
    </w:pPr>
    <w:rPr>
      <w:sz w:val="24"/>
      <w:szCs w:val="24"/>
      <w:lang w:val="ru-RU"/>
    </w:rPr>
  </w:style>
  <w:style w:type="paragraph" w:customStyle="1" w:styleId="NormalItal">
    <w:name w:val="Normal Ital"/>
    <w:qFormat/>
    <w:pPr>
      <w:widowControl w:val="0"/>
      <w:spacing w:line="240" w:lineRule="exact"/>
      <w:ind w:firstLine="283"/>
      <w:jc w:val="both"/>
    </w:pPr>
    <w:rPr>
      <w:rFonts w:ascii="NewtonCTT" w:hAnsi="NewtonCTT" w:cs="NewtonCTT"/>
      <w:i/>
      <w:iCs/>
      <w:color w:val="000000"/>
      <w:lang w:val="ru-RU"/>
    </w:rPr>
  </w:style>
  <w:style w:type="paragraph" w:styleId="a3">
    <w:name w:val="Balloon Text"/>
    <w:basedOn w:val="a"/>
    <w:qFormat/>
    <w:pPr>
      <w:widowControl w:val="0"/>
    </w:pPr>
    <w:rPr>
      <w:rFonts w:ascii="Tahoma" w:hAnsi="Tahoma" w:cs="Tahoma"/>
      <w:color w:val="000000"/>
      <w:spacing w:val="-15"/>
      <w:sz w:val="16"/>
      <w:szCs w:val="16"/>
    </w:rPr>
  </w:style>
  <w:style w:type="paragraph" w:styleId="a4">
    <w:name w:val="footnote text"/>
    <w:basedOn w:val="a"/>
    <w:qFormat/>
    <w:pPr>
      <w:widowControl w:val="0"/>
    </w:pPr>
    <w:rPr>
      <w:rFonts w:ascii="NewtonCTT" w:hAnsi="NewtonCTT" w:cs="NewtonCTT"/>
      <w:color w:val="000000"/>
      <w:spacing w:val="-15"/>
      <w:sz w:val="20"/>
    </w:rPr>
  </w:style>
  <w:style w:type="paragraph" w:styleId="a5">
    <w:name w:val="footer"/>
    <w:basedOn w:val="a"/>
    <w:qFormat/>
    <w:pPr>
      <w:widowControl w:val="0"/>
      <w:tabs>
        <w:tab w:val="center" w:pos="4677"/>
        <w:tab w:val="right" w:pos="9355"/>
      </w:tabs>
    </w:pPr>
    <w:rPr>
      <w:rFonts w:ascii="NewtonCTT" w:hAnsi="NewtonCTT" w:cs="NewtonCTT"/>
      <w:color w:val="000000"/>
      <w:spacing w:val="-15"/>
      <w:sz w:val="20"/>
    </w:rPr>
  </w:style>
  <w:style w:type="paragraph" w:customStyle="1" w:styleId="1">
    <w:name w:val="Знак Знак Знак Знак Знак Знак Знак Знак Знак Знак1 Знак Знак"/>
    <w:basedOn w:val="a"/>
    <w:qFormat/>
    <w:rPr>
      <w:rFonts w:ascii="Verdana" w:hAnsi="Verdana" w:cs="Verdana"/>
      <w:sz w:val="20"/>
      <w:lang w:val="en-US"/>
    </w:rPr>
  </w:style>
  <w:style w:type="paragraph" w:customStyle="1" w:styleId="rvps2">
    <w:name w:val="rvps2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6">
    <w:name w:val="header"/>
    <w:basedOn w:val="a"/>
    <w:qFormat/>
    <w:pPr>
      <w:widowControl w:val="0"/>
      <w:tabs>
        <w:tab w:val="center" w:pos="4677"/>
        <w:tab w:val="right" w:pos="9355"/>
      </w:tabs>
    </w:pPr>
    <w:rPr>
      <w:rFonts w:ascii="NewtonCTT" w:hAnsi="NewtonCTT" w:cs="NewtonCTT"/>
      <w:color w:val="000000"/>
      <w:spacing w:val="-15"/>
      <w:sz w:val="20"/>
    </w:rPr>
  </w:style>
  <w:style w:type="paragraph" w:customStyle="1" w:styleId="10">
    <w:name w:val="Текст примечания1"/>
    <w:basedOn w:val="a"/>
    <w:qFormat/>
    <w:pPr>
      <w:widowControl w:val="0"/>
    </w:pPr>
    <w:rPr>
      <w:rFonts w:ascii="NewtonCTT" w:hAnsi="NewtonCTT" w:cs="NewtonCTT"/>
      <w:color w:val="000000"/>
      <w:spacing w:val="-15"/>
      <w:sz w:val="20"/>
    </w:rPr>
  </w:style>
  <w:style w:type="paragraph" w:customStyle="1" w:styleId="11">
    <w:name w:val="Тема примечания1"/>
    <w:basedOn w:val="10"/>
    <w:next w:val="10"/>
    <w:qFormat/>
    <w:rPr>
      <w:b/>
      <w:bCs/>
    </w:rPr>
  </w:style>
  <w:style w:type="paragraph" w:customStyle="1" w:styleId="12">
    <w:name w:val="Рецензия1"/>
    <w:qFormat/>
    <w:rPr>
      <w:rFonts w:ascii="NewtonCTT" w:hAnsi="NewtonCTT" w:cs="NewtonCTT"/>
      <w:color w:val="000000"/>
      <w:spacing w:val="-29"/>
      <w:lang w:val="ru-RU"/>
    </w:rPr>
  </w:style>
  <w:style w:type="paragraph" w:styleId="a7">
    <w:name w:val="Normal (Web)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qFormat/>
    <w:pPr>
      <w:tabs>
        <w:tab w:val="left" w:pos="613"/>
        <w:tab w:val="left" w:pos="9518"/>
      </w:tabs>
      <w:spacing w:line="360" w:lineRule="auto"/>
      <w:jc w:val="center"/>
    </w:pPr>
    <w:rPr>
      <w:b/>
      <w:color w:val="000000"/>
      <w:sz w:val="36"/>
      <w:szCs w:val="28"/>
      <w:lang w:val="uk-UA"/>
    </w:rPr>
  </w:style>
  <w:style w:type="paragraph" w:styleId="a9">
    <w:name w:val="endnote text"/>
    <w:basedOn w:val="a"/>
    <w:qFormat/>
    <w:rPr>
      <w:sz w:val="20"/>
    </w:rPr>
  </w:style>
  <w:style w:type="paragraph" w:styleId="aa">
    <w:name w:val="List Paragraph"/>
    <w:basedOn w:val="a"/>
    <w:qFormat/>
    <w:pPr>
      <w:ind w:left="720"/>
      <w:contextualSpacing/>
    </w:pPr>
  </w:style>
  <w:style w:type="character" w:customStyle="1" w:styleId="ab">
    <w:name w:val="Текст выноски Знак"/>
    <w:basedOn w:val="a0"/>
    <w:rPr>
      <w:rFonts w:ascii="Tahoma" w:eastAsia="Times New Roman" w:hAnsi="Tahoma" w:cs="Tahoma"/>
      <w:color w:val="000000"/>
      <w:spacing w:val="-15"/>
      <w:sz w:val="16"/>
      <w:szCs w:val="16"/>
      <w:lang w:val="ru-RU"/>
    </w:rPr>
  </w:style>
  <w:style w:type="character" w:customStyle="1" w:styleId="ac">
    <w:name w:val="Текст сноски Знак"/>
    <w:basedOn w:val="a0"/>
    <w:rPr>
      <w:rFonts w:ascii="NewtonCTT" w:eastAsia="Times New Roman" w:hAnsi="NewtonCTT" w:cs="NewtonCTT"/>
      <w:color w:val="000000"/>
      <w:spacing w:val="-15"/>
      <w:sz w:val="20"/>
      <w:szCs w:val="20"/>
      <w:lang w:val="ru-RU"/>
    </w:rPr>
  </w:style>
  <w:style w:type="character" w:styleId="ad">
    <w:name w:val="footnote reference"/>
    <w:rPr>
      <w:vertAlign w:val="superscript"/>
    </w:rPr>
  </w:style>
  <w:style w:type="character" w:customStyle="1" w:styleId="ae">
    <w:name w:val="Нижний колонтитул Знак"/>
    <w:basedOn w:val="a0"/>
    <w:rPr>
      <w:rFonts w:ascii="NewtonCTT" w:eastAsia="Times New Roman" w:hAnsi="NewtonCTT" w:cs="NewtonCTT"/>
      <w:color w:val="000000"/>
      <w:spacing w:val="-15"/>
      <w:sz w:val="20"/>
      <w:szCs w:val="20"/>
      <w:lang w:val="ru-RU"/>
    </w:rPr>
  </w:style>
  <w:style w:type="character" w:styleId="af">
    <w:name w:val="page number"/>
    <w:basedOn w:val="a0"/>
  </w:style>
  <w:style w:type="character" w:customStyle="1" w:styleId="apple-converted-space">
    <w:name w:val="apple-converted-space"/>
    <w:basedOn w:val="a0"/>
  </w:style>
  <w:style w:type="character" w:styleId="af0">
    <w:name w:val="Hyperlink"/>
    <w:rPr>
      <w:color w:val="0000FF"/>
      <w:u w:val="single"/>
    </w:rPr>
  </w:style>
  <w:style w:type="character" w:customStyle="1" w:styleId="rvts46">
    <w:name w:val="rvts46"/>
    <w:basedOn w:val="a0"/>
  </w:style>
  <w:style w:type="character" w:customStyle="1" w:styleId="rvts37">
    <w:name w:val="rvts37"/>
    <w:basedOn w:val="a0"/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f1">
    <w:name w:val="Верхний колонтитул Знак"/>
    <w:basedOn w:val="a0"/>
    <w:rPr>
      <w:rFonts w:ascii="NewtonCTT" w:eastAsia="Times New Roman" w:hAnsi="NewtonCTT" w:cs="NewtonCTT"/>
      <w:color w:val="000000"/>
      <w:spacing w:val="-15"/>
      <w:sz w:val="20"/>
      <w:szCs w:val="20"/>
      <w:lang w:val="ru-RU"/>
    </w:rPr>
  </w:style>
  <w:style w:type="character" w:customStyle="1" w:styleId="13">
    <w:name w:val="Знак примечания1"/>
    <w:rPr>
      <w:sz w:val="16"/>
      <w:szCs w:val="16"/>
    </w:rPr>
  </w:style>
  <w:style w:type="character" w:customStyle="1" w:styleId="af2">
    <w:name w:val="Текст примечания Знак"/>
    <w:basedOn w:val="a0"/>
    <w:rPr>
      <w:rFonts w:ascii="NewtonCTT" w:eastAsia="Times New Roman" w:hAnsi="NewtonCTT" w:cs="NewtonCTT"/>
      <w:color w:val="000000"/>
      <w:spacing w:val="-15"/>
      <w:sz w:val="20"/>
      <w:szCs w:val="20"/>
      <w:lang w:val="ru-RU"/>
    </w:rPr>
  </w:style>
  <w:style w:type="character" w:customStyle="1" w:styleId="af3">
    <w:name w:val="Тема примечания Знак"/>
    <w:basedOn w:val="af2"/>
    <w:rPr>
      <w:rFonts w:ascii="NewtonCTT" w:eastAsia="Times New Roman" w:hAnsi="NewtonCTT" w:cs="NewtonCTT"/>
      <w:b/>
      <w:bCs/>
      <w:color w:val="000000"/>
      <w:spacing w:val="-15"/>
      <w:sz w:val="20"/>
      <w:szCs w:val="20"/>
      <w:lang w:val="ru-RU"/>
    </w:rPr>
  </w:style>
  <w:style w:type="character" w:customStyle="1" w:styleId="af4">
    <w:name w:val="Основной текст Знак"/>
    <w:basedOn w:val="a0"/>
    <w:rPr>
      <w:rFonts w:ascii="Times New Roman" w:eastAsia="Times New Roman" w:hAnsi="Times New Roman" w:cs="Times New Roman"/>
      <w:b/>
      <w:color w:val="000000"/>
      <w:sz w:val="36"/>
      <w:szCs w:val="28"/>
    </w:rPr>
  </w:style>
  <w:style w:type="character" w:customStyle="1" w:styleId="af5">
    <w:name w:val="Текст концевой сноски Знак"/>
    <w:basedOn w:val="a0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6">
    <w:name w:val="endnote reference"/>
    <w:basedOn w:val="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1945</Words>
  <Characters>1109</Characters>
  <Application>Microsoft Office Word</Application>
  <DocSecurity>0</DocSecurity>
  <Lines>9</Lines>
  <Paragraphs>6</Paragraphs>
  <ScaleCrop>false</ScaleCrop>
  <Company>ZSR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ЗСР</dc:creator>
  <cp:keywords/>
  <dc:description/>
  <cp:lastModifiedBy>ZSR</cp:lastModifiedBy>
  <cp:revision>5</cp:revision>
  <cp:lastPrinted>2021-03-18T13:42:00Z</cp:lastPrinted>
  <dcterms:created xsi:type="dcterms:W3CDTF">2021-04-16T08:45:00Z</dcterms:created>
  <dcterms:modified xsi:type="dcterms:W3CDTF">2021-04-21T05:10:00Z</dcterms:modified>
</cp:coreProperties>
</file>