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98" w:rsidRDefault="002C0C98" w:rsidP="00CD6839">
      <w:pPr>
        <w:rPr>
          <w:sz w:val="28"/>
          <w:szCs w:val="28"/>
        </w:rPr>
      </w:pPr>
    </w:p>
    <w:p w:rsidR="00CD6839" w:rsidRPr="00CD6839" w:rsidRDefault="00D577E9" w:rsidP="00CD6839">
      <w:pPr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>ЗАЯВА</w:t>
      </w:r>
      <w:r w:rsidR="00CD6839" w:rsidRPr="00CD683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37D9E" w:rsidRPr="009B15BB" w:rsidRDefault="00737D9E" w:rsidP="00737D9E">
      <w:pPr>
        <w:adjustRightInd w:val="0"/>
        <w:jc w:val="center"/>
        <w:rPr>
          <w:rFonts w:eastAsiaTheme="minorHAnsi"/>
          <w:color w:val="000000"/>
          <w:sz w:val="28"/>
          <w:szCs w:val="28"/>
          <w:lang w:val="uk-UA" w:eastAsia="en-US"/>
        </w:rPr>
      </w:pPr>
      <w:r w:rsidRPr="00D577E9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про </w:t>
      </w:r>
      <w:proofErr w:type="spellStart"/>
      <w:r w:rsidRPr="00D577E9">
        <w:rPr>
          <w:rFonts w:eastAsiaTheme="minorHAnsi"/>
          <w:bCs/>
          <w:color w:val="000000"/>
          <w:sz w:val="28"/>
          <w:szCs w:val="28"/>
          <w:lang w:eastAsia="en-US"/>
        </w:rPr>
        <w:t>визначення</w:t>
      </w:r>
      <w:proofErr w:type="spellEnd"/>
      <w:r w:rsidRPr="00D577E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D577E9">
        <w:rPr>
          <w:rFonts w:eastAsiaTheme="minorHAnsi"/>
          <w:bCs/>
          <w:color w:val="000000"/>
          <w:sz w:val="28"/>
          <w:szCs w:val="28"/>
          <w:lang w:eastAsia="en-US"/>
        </w:rPr>
        <w:t>обсягу</w:t>
      </w:r>
      <w:proofErr w:type="spellEnd"/>
      <w:r w:rsidRPr="00D577E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9B15BB">
        <w:rPr>
          <w:rFonts w:eastAsiaTheme="minorHAnsi"/>
          <w:bCs/>
          <w:color w:val="000000"/>
          <w:sz w:val="28"/>
          <w:szCs w:val="28"/>
          <w:lang w:eastAsia="en-US"/>
        </w:rPr>
        <w:t>стратегічної</w:t>
      </w:r>
      <w:proofErr w:type="spellEnd"/>
      <w:r w:rsidRPr="009B15BB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9B15BB">
        <w:rPr>
          <w:rFonts w:eastAsiaTheme="minorHAnsi"/>
          <w:bCs/>
          <w:color w:val="000000"/>
          <w:sz w:val="28"/>
          <w:szCs w:val="28"/>
          <w:lang w:eastAsia="en-US"/>
        </w:rPr>
        <w:t>екологічної</w:t>
      </w:r>
      <w:proofErr w:type="spellEnd"/>
      <w:r w:rsidRPr="009B15BB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9B15BB">
        <w:rPr>
          <w:rFonts w:eastAsiaTheme="minorHAnsi"/>
          <w:bCs/>
          <w:color w:val="000000"/>
          <w:sz w:val="28"/>
          <w:szCs w:val="28"/>
          <w:lang w:eastAsia="en-US"/>
        </w:rPr>
        <w:t>оцінки</w:t>
      </w:r>
      <w:proofErr w:type="spellEnd"/>
      <w:r w:rsidRPr="009B15BB">
        <w:rPr>
          <w:rFonts w:eastAsiaTheme="minorHAnsi"/>
          <w:bCs/>
          <w:color w:val="000000"/>
          <w:sz w:val="28"/>
          <w:szCs w:val="28"/>
          <w:lang w:eastAsia="en-US"/>
        </w:rPr>
        <w:t xml:space="preserve"> до </w:t>
      </w:r>
      <w:proofErr w:type="spellStart"/>
      <w:r w:rsidRPr="009B15BB">
        <w:rPr>
          <w:rFonts w:eastAsiaTheme="minorHAnsi"/>
          <w:bCs/>
          <w:color w:val="000000"/>
          <w:sz w:val="28"/>
          <w:szCs w:val="28"/>
          <w:lang w:eastAsia="en-US"/>
        </w:rPr>
        <w:t>проєкту</w:t>
      </w:r>
      <w:proofErr w:type="spellEnd"/>
      <w:r w:rsidRPr="009B15B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«</w:t>
      </w:r>
      <w:proofErr w:type="spellStart"/>
      <w:r w:rsidRPr="009B15BB">
        <w:rPr>
          <w:rFonts w:eastAsiaTheme="minorHAnsi"/>
          <w:b/>
          <w:bCs/>
          <w:color w:val="000000"/>
          <w:sz w:val="28"/>
          <w:szCs w:val="28"/>
          <w:lang w:eastAsia="en-US"/>
        </w:rPr>
        <w:t>Детальний</w:t>
      </w:r>
      <w:proofErr w:type="spellEnd"/>
      <w:r w:rsidRPr="009B15B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план </w:t>
      </w:r>
      <w:proofErr w:type="spellStart"/>
      <w:r w:rsidRPr="009B15BB">
        <w:rPr>
          <w:rFonts w:eastAsiaTheme="minorHAnsi"/>
          <w:b/>
          <w:bCs/>
          <w:color w:val="000000"/>
          <w:sz w:val="28"/>
          <w:szCs w:val="28"/>
          <w:lang w:eastAsia="en-US"/>
        </w:rPr>
        <w:t>території</w:t>
      </w:r>
      <w:proofErr w:type="spellEnd"/>
      <w:r w:rsidRPr="009B15B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9B15BB">
        <w:rPr>
          <w:b/>
          <w:bCs/>
          <w:sz w:val="28"/>
          <w:szCs w:val="28"/>
          <w:lang w:val="uk-UA"/>
        </w:rPr>
        <w:t>по</w:t>
      </w:r>
      <w:r w:rsidR="009B15BB" w:rsidRPr="009B15B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9B15BB" w:rsidRPr="009B15BB">
        <w:rPr>
          <w:b/>
          <w:bCs/>
          <w:color w:val="000000"/>
          <w:sz w:val="28"/>
          <w:szCs w:val="28"/>
        </w:rPr>
        <w:t>вул</w:t>
      </w:r>
      <w:proofErr w:type="spellEnd"/>
      <w:r w:rsidR="009B15BB" w:rsidRPr="009B15BB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9B15BB" w:rsidRPr="009B15BB">
        <w:rPr>
          <w:b/>
          <w:bCs/>
          <w:color w:val="000000"/>
          <w:sz w:val="28"/>
          <w:szCs w:val="28"/>
        </w:rPr>
        <w:t>Радгоспна</w:t>
      </w:r>
      <w:proofErr w:type="spellEnd"/>
      <w:r w:rsidR="009B15BB" w:rsidRPr="009B15BB">
        <w:rPr>
          <w:b/>
          <w:bCs/>
          <w:color w:val="000000"/>
          <w:sz w:val="28"/>
          <w:szCs w:val="28"/>
        </w:rPr>
        <w:t xml:space="preserve"> та Гута </w:t>
      </w:r>
      <w:proofErr w:type="spellStart"/>
      <w:r w:rsidR="009B15BB" w:rsidRPr="009B15BB">
        <w:rPr>
          <w:b/>
          <w:bCs/>
          <w:color w:val="000000"/>
          <w:sz w:val="28"/>
          <w:szCs w:val="28"/>
        </w:rPr>
        <w:t>Лісова</w:t>
      </w:r>
      <w:proofErr w:type="spellEnd"/>
      <w:r w:rsidR="009B15BB" w:rsidRPr="009B15BB">
        <w:rPr>
          <w:b/>
          <w:bCs/>
          <w:color w:val="000000"/>
          <w:sz w:val="28"/>
          <w:szCs w:val="28"/>
        </w:rPr>
        <w:t xml:space="preserve"> в с. </w:t>
      </w:r>
      <w:proofErr w:type="spellStart"/>
      <w:r w:rsidR="009B15BB" w:rsidRPr="009B15BB">
        <w:rPr>
          <w:b/>
          <w:bCs/>
          <w:color w:val="000000"/>
          <w:sz w:val="28"/>
          <w:szCs w:val="28"/>
        </w:rPr>
        <w:t>Зазим'я</w:t>
      </w:r>
      <w:proofErr w:type="spellEnd"/>
      <w:r w:rsidR="009B15BB" w:rsidRPr="009B15B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B15BB" w:rsidRPr="009B15BB">
        <w:rPr>
          <w:b/>
          <w:bCs/>
          <w:color w:val="000000"/>
          <w:sz w:val="28"/>
          <w:szCs w:val="28"/>
        </w:rPr>
        <w:t>Броварського</w:t>
      </w:r>
      <w:proofErr w:type="spellEnd"/>
      <w:r w:rsidR="009B15BB" w:rsidRPr="009B15BB">
        <w:rPr>
          <w:b/>
          <w:bCs/>
          <w:color w:val="000000"/>
          <w:sz w:val="28"/>
          <w:szCs w:val="28"/>
        </w:rPr>
        <w:t xml:space="preserve"> району </w:t>
      </w:r>
      <w:proofErr w:type="spellStart"/>
      <w:r w:rsidR="009B15BB" w:rsidRPr="009B15BB">
        <w:rPr>
          <w:b/>
          <w:bCs/>
          <w:color w:val="000000"/>
          <w:sz w:val="28"/>
          <w:szCs w:val="28"/>
        </w:rPr>
        <w:t>Київської</w:t>
      </w:r>
      <w:proofErr w:type="spellEnd"/>
      <w:r w:rsidR="009B15BB" w:rsidRPr="009B15B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B15BB" w:rsidRPr="009B15BB">
        <w:rPr>
          <w:b/>
          <w:bCs/>
          <w:color w:val="000000"/>
          <w:sz w:val="28"/>
          <w:szCs w:val="28"/>
        </w:rPr>
        <w:t>області</w:t>
      </w:r>
      <w:proofErr w:type="spellEnd"/>
      <w:r w:rsidR="009B15BB" w:rsidRPr="009B15BB">
        <w:rPr>
          <w:rFonts w:eastAsiaTheme="minorHAnsi"/>
          <w:b/>
          <w:bCs/>
          <w:color w:val="000000"/>
          <w:sz w:val="28"/>
          <w:szCs w:val="28"/>
          <w:lang w:eastAsia="en-US"/>
        </w:rPr>
        <w:t>»</w:t>
      </w:r>
      <w:r w:rsidR="009B15BB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>.</w:t>
      </w:r>
    </w:p>
    <w:p w:rsidR="00CD6839" w:rsidRDefault="00CD6839" w:rsidP="00737D9E">
      <w:pPr>
        <w:rPr>
          <w:sz w:val="28"/>
          <w:szCs w:val="28"/>
        </w:rPr>
      </w:pPr>
    </w:p>
    <w:p w:rsidR="00737D9E" w:rsidRDefault="00737D9E" w:rsidP="00737D9E">
      <w:pPr>
        <w:rPr>
          <w:sz w:val="28"/>
          <w:szCs w:val="28"/>
        </w:rPr>
      </w:pPr>
    </w:p>
    <w:p w:rsidR="00737D9E" w:rsidRDefault="00737D9E" w:rsidP="00737D9E">
      <w:pPr>
        <w:rPr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2664"/>
        <w:gridCol w:w="7052"/>
      </w:tblGrid>
      <w:tr w:rsidR="00CD6839" w:rsidRPr="002A57EB" w:rsidTr="00CD6839">
        <w:tc>
          <w:tcPr>
            <w:tcW w:w="426" w:type="dxa"/>
          </w:tcPr>
          <w:p w:rsidR="00CD6839" w:rsidRPr="00CD6839" w:rsidRDefault="00CD6839" w:rsidP="00CD6839">
            <w:pPr>
              <w:tabs>
                <w:tab w:val="left" w:pos="240"/>
              </w:tabs>
              <w:adjustRightInd w:val="0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 w:rsidRPr="00CD6839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1.</w:t>
            </w:r>
          </w:p>
          <w:p w:rsidR="00CD6839" w:rsidRDefault="00CD6839" w:rsidP="00151D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D6839" w:rsidRDefault="00CD6839" w:rsidP="00CD683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Замовник</w:t>
            </w:r>
            <w:proofErr w:type="spellEnd"/>
          </w:p>
          <w:p w:rsidR="00CD6839" w:rsidRDefault="00CD6839" w:rsidP="00151D3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CD6839" w:rsidRDefault="00737D9E" w:rsidP="00737D9E">
            <w:pPr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Зазимська</w:t>
            </w:r>
            <w:proofErr w:type="spellEnd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сільська</w:t>
            </w:r>
            <w:proofErr w:type="spellEnd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рада </w:t>
            </w:r>
            <w:proofErr w:type="spellStart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Броварського</w:t>
            </w:r>
            <w:proofErr w:type="spellEnd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Київської</w:t>
            </w:r>
            <w:proofErr w:type="spellEnd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області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вул</w:t>
            </w:r>
            <w:proofErr w:type="spellEnd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Широка буд. 6, с. </w:t>
            </w:r>
            <w:proofErr w:type="spellStart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Зазим'я</w:t>
            </w:r>
            <w:proofErr w:type="spellEnd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Броварський</w:t>
            </w:r>
            <w:proofErr w:type="spellEnd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р-н, </w:t>
            </w:r>
            <w:proofErr w:type="spellStart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Київська</w:t>
            </w:r>
            <w:proofErr w:type="spellEnd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обл., 07415, тел/факс. 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0459429281 </w:t>
            </w:r>
            <w:r>
              <w:rPr>
                <w:rFonts w:eastAsiaTheme="minorHAnsi"/>
                <w:color w:val="0000FF"/>
                <w:sz w:val="24"/>
                <w:szCs w:val="24"/>
                <w:lang w:val="en-US" w:eastAsia="en-US"/>
              </w:rPr>
              <w:t xml:space="preserve">http://zotg.gov.ua, 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e-mail: zotg@ukr.net,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код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ЄДРПОУ: 04363876</w:t>
            </w:r>
          </w:p>
          <w:p w:rsidR="00737D9E" w:rsidRPr="0091436E" w:rsidRDefault="00737D9E" w:rsidP="00737D9E">
            <w:pPr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D6839" w:rsidRPr="00CD6839" w:rsidTr="00CD6839">
        <w:tc>
          <w:tcPr>
            <w:tcW w:w="426" w:type="dxa"/>
          </w:tcPr>
          <w:p w:rsidR="00CD6839" w:rsidRPr="00CD6839" w:rsidRDefault="00CD6839" w:rsidP="00151D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CD6839" w:rsidRPr="00CD6839" w:rsidRDefault="00CD6839" w:rsidP="00CD683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Вид та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основні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цілі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документа державного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планування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його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зв'язок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іншими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документами державного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планування</w:t>
            </w:r>
            <w:proofErr w:type="spellEnd"/>
          </w:p>
          <w:p w:rsidR="00CD6839" w:rsidRPr="00CD6839" w:rsidRDefault="00CD6839" w:rsidP="00151D3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737D9E" w:rsidRPr="009B15BB" w:rsidRDefault="00737D9E" w:rsidP="00D860D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Детальний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план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є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містобудівною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документацією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, яка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призначена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обґрунтування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стратегії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планування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забудови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іншого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будівництва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9B15BB" w:rsidRDefault="00737D9E" w:rsidP="00D860D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Завданнями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проекту детального плану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(ДПТ) є:</w:t>
            </w:r>
          </w:p>
          <w:p w:rsidR="00737D9E" w:rsidRPr="009B15BB" w:rsidRDefault="00737D9E" w:rsidP="00D860D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5BB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B15B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обґрунтування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майбутніх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потреб і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переважних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напрямків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9B15BB" w:rsidRDefault="00737D9E" w:rsidP="00D860D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5BB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B15B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урахування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державних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громадських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приватних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інтересів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під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часпланування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забудови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іншого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дотриманням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вимог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містобудівного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санітарного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екологічного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природоохоронного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протипожежного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іншого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законодавства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9B15BB" w:rsidRDefault="00737D9E" w:rsidP="00D860D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5BB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B15B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обґрунтування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проектування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містобудівних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потреб;</w:t>
            </w:r>
          </w:p>
          <w:p w:rsidR="00737D9E" w:rsidRPr="009B15BB" w:rsidRDefault="00737D9E" w:rsidP="00D860D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5BB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B15B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раціонального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9B15BB" w:rsidRDefault="00737D9E" w:rsidP="00D860D5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визначення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проектування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особливих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функціональних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зон,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встановлення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передбачених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законодавством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обмежень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їх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планування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забудову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інше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розроблення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містобудівних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заходів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щодо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охорони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довкілля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раціонального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Детальний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план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B15BB" w:rsidRPr="009B15BB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="009B15BB" w:rsidRPr="009B15BB">
              <w:rPr>
                <w:bCs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="009B15BB" w:rsidRPr="009B15BB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9B15BB" w:rsidRPr="009B15BB">
              <w:rPr>
                <w:bCs/>
                <w:color w:val="000000" w:themeColor="text1"/>
                <w:sz w:val="24"/>
                <w:szCs w:val="24"/>
              </w:rPr>
              <w:t>Радгоспна</w:t>
            </w:r>
            <w:proofErr w:type="spellEnd"/>
            <w:r w:rsidR="009B15BB" w:rsidRPr="009B15BB">
              <w:rPr>
                <w:bCs/>
                <w:color w:val="000000" w:themeColor="text1"/>
                <w:sz w:val="24"/>
                <w:szCs w:val="24"/>
              </w:rPr>
              <w:t xml:space="preserve"> та Гута </w:t>
            </w:r>
            <w:proofErr w:type="spellStart"/>
            <w:r w:rsidR="009B15BB" w:rsidRPr="009B15BB">
              <w:rPr>
                <w:bCs/>
                <w:color w:val="000000" w:themeColor="text1"/>
                <w:sz w:val="24"/>
                <w:szCs w:val="24"/>
              </w:rPr>
              <w:t>Лісова</w:t>
            </w:r>
            <w:proofErr w:type="spellEnd"/>
            <w:r w:rsidR="009B15BB" w:rsidRPr="009B15BB">
              <w:rPr>
                <w:bCs/>
                <w:color w:val="000000" w:themeColor="text1"/>
                <w:sz w:val="24"/>
                <w:szCs w:val="24"/>
              </w:rPr>
              <w:t xml:space="preserve"> в с. </w:t>
            </w:r>
            <w:proofErr w:type="spellStart"/>
            <w:r w:rsidR="009B15BB" w:rsidRPr="009B15BB">
              <w:rPr>
                <w:bCs/>
                <w:color w:val="000000" w:themeColor="text1"/>
                <w:sz w:val="24"/>
                <w:szCs w:val="24"/>
              </w:rPr>
              <w:t>Зазим'я</w:t>
            </w:r>
            <w:proofErr w:type="spellEnd"/>
            <w:r w:rsidR="009B15BB" w:rsidRPr="009B15B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B15BB" w:rsidRPr="009B15BB">
              <w:rPr>
                <w:bCs/>
                <w:color w:val="000000" w:themeColor="text1"/>
                <w:sz w:val="24"/>
                <w:szCs w:val="24"/>
              </w:rPr>
              <w:t>Броварського</w:t>
            </w:r>
            <w:proofErr w:type="spellEnd"/>
            <w:r w:rsidR="009B15BB" w:rsidRPr="009B15BB">
              <w:rPr>
                <w:bCs/>
                <w:color w:val="000000" w:themeColor="text1"/>
                <w:sz w:val="24"/>
                <w:szCs w:val="24"/>
              </w:rPr>
              <w:t xml:space="preserve"> району </w:t>
            </w:r>
            <w:proofErr w:type="spellStart"/>
            <w:r w:rsidR="009B15BB" w:rsidRPr="009B15BB">
              <w:rPr>
                <w:bCs/>
                <w:color w:val="000000" w:themeColor="text1"/>
                <w:sz w:val="24"/>
                <w:szCs w:val="24"/>
              </w:rPr>
              <w:t>Київської</w:t>
            </w:r>
            <w:proofErr w:type="spellEnd"/>
            <w:r w:rsidR="009B15BB" w:rsidRPr="009B15B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B15BB" w:rsidRPr="009B15BB">
              <w:rPr>
                <w:bCs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розробляється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згідно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  <w:p w:rsidR="00737D9E" w:rsidRPr="00D860D5" w:rsidRDefault="00737D9E" w:rsidP="00D860D5">
            <w:pPr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Рішення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Зазимської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сільської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Броварського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Київської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області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розроблення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детального плану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від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860D5" w:rsidRPr="00D860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від</w:t>
            </w:r>
            <w:proofErr w:type="spellEnd"/>
            <w:r w:rsidR="00D860D5" w:rsidRPr="00D860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03 листопада 2020 року №</w:t>
            </w:r>
            <w:r w:rsidR="00D860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992-16 </w:t>
            </w:r>
            <w:proofErr w:type="spellStart"/>
            <w:r w:rsidR="00D860D5" w:rsidRPr="00D860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позачергової</w:t>
            </w:r>
            <w:proofErr w:type="spellEnd"/>
            <w:r w:rsidR="00D860D5" w:rsidRPr="00D860D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="00D860D5"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VII</w:t>
            </w:r>
          </w:p>
          <w:p w:rsidR="00737D9E" w:rsidRPr="009B15BB" w:rsidRDefault="00737D9E" w:rsidP="00D860D5">
            <w:pPr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Проект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розобляється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деталізації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архітектурно-планувальних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рішень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діючого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генерального </w:t>
            </w:r>
            <w:proofErr w:type="gram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плану  с.</w:t>
            </w:r>
            <w:proofErr w:type="gram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15BB" w:rsidRPr="009B15BB">
              <w:rPr>
                <w:rFonts w:eastAsiaTheme="minorHAnsi"/>
                <w:color w:val="000000" w:themeColor="text1"/>
                <w:sz w:val="24"/>
                <w:szCs w:val="24"/>
                <w:lang w:val="uk-UA" w:eastAsia="en-US"/>
              </w:rPr>
              <w:t>Зазим'я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при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цьому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враховано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раціональний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розвиток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територій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напрямки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розвитку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здійснення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інженерного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в межах </w:t>
            </w:r>
            <w:proofErr w:type="spellStart"/>
            <w:r w:rsidRPr="009B15B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9B15BB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. </w:t>
            </w:r>
          </w:p>
          <w:p w:rsidR="00CD6839" w:rsidRPr="009B15BB" w:rsidRDefault="00CD6839" w:rsidP="00D860D5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D6839" w:rsidRPr="00CD6839" w:rsidTr="00CD6839">
        <w:tc>
          <w:tcPr>
            <w:tcW w:w="426" w:type="dxa"/>
          </w:tcPr>
          <w:p w:rsidR="00CD6839" w:rsidRPr="00CD6839" w:rsidRDefault="00CD6839" w:rsidP="00151D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</w:tcPr>
          <w:p w:rsidR="00CD6839" w:rsidRDefault="00CD6839" w:rsidP="00CD683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</w:pPr>
            <w:r w:rsidRPr="00CD6839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 xml:space="preserve">Якою мірою документ державного планування визначає умови для реалізації видів діяльності або об'єктів, щодо яких законодавством передбачено здійснення процедури оцінки впливу на </w:t>
            </w:r>
            <w:r w:rsidRPr="00CD6839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lastRenderedPageBreak/>
              <w:t>довкілля (у тому числі щодо визначення місцезнаходження, розміру, потужності або розміщення ресурсів</w:t>
            </w:r>
            <w:r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>)</w:t>
            </w:r>
          </w:p>
          <w:p w:rsidR="00CD6839" w:rsidRPr="00CD6839" w:rsidRDefault="00CD6839" w:rsidP="00CD683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7052" w:type="dxa"/>
          </w:tcPr>
          <w:p w:rsidR="00737D9E" w:rsidRPr="0031705D" w:rsidRDefault="00737D9E" w:rsidP="00737D9E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Загальна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площа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A57EB" w:rsidRPr="0031705D">
              <w:rPr>
                <w:rFonts w:eastAsiaTheme="minorHAnsi"/>
                <w:sz w:val="24"/>
                <w:szCs w:val="24"/>
                <w:lang w:val="uk-UA" w:eastAsia="en-US"/>
              </w:rPr>
              <w:t>Території</w:t>
            </w:r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A57EB" w:rsidRPr="0031705D">
              <w:rPr>
                <w:rFonts w:eastAsiaTheme="minorHAnsi"/>
                <w:sz w:val="24"/>
                <w:szCs w:val="24"/>
                <w:lang w:val="uk-UA" w:eastAsia="en-US"/>
              </w:rPr>
              <w:t>44.5</w:t>
            </w:r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га. </w:t>
            </w:r>
          </w:p>
          <w:p w:rsidR="00737D9E" w:rsidRPr="0031705D" w:rsidRDefault="00737D9E" w:rsidP="00737D9E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У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функціональному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відношенні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територія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ділянки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поділена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декілька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зон:</w:t>
            </w:r>
          </w:p>
          <w:p w:rsidR="00737D9E" w:rsidRPr="0031705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705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31705D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житлову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A57EB" w:rsidRPr="0031705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705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31705D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="002A57EB" w:rsidRPr="0031705D">
              <w:rPr>
                <w:rFonts w:eastAsiaTheme="minorHAnsi"/>
                <w:sz w:val="24"/>
                <w:szCs w:val="24"/>
                <w:lang w:val="uk-UA" w:eastAsia="en-US"/>
              </w:rPr>
              <w:t>інженерної інфраструктури</w:t>
            </w:r>
            <w:r w:rsidRPr="0031705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A57EB" w:rsidRPr="0031705D" w:rsidRDefault="002A57EB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705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31705D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31705D">
              <w:rPr>
                <w:rFonts w:eastAsiaTheme="minorHAnsi"/>
                <w:sz w:val="24"/>
                <w:szCs w:val="24"/>
                <w:lang w:val="uk-UA" w:eastAsia="en-US"/>
              </w:rPr>
              <w:t xml:space="preserve">зона спеціального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val="uk-UA" w:eastAsia="en-US"/>
              </w:rPr>
              <w:t>пизначення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  <w:lang w:val="uk-UA" w:eastAsia="en-US"/>
              </w:rPr>
            </w:pPr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даний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час на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відсутні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будівлі</w:t>
            </w:r>
            <w:proofErr w:type="spellEnd"/>
            <w:r w:rsidR="002A57EB" w:rsidRPr="0031705D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A57EB" w:rsidRPr="0031705D">
              <w:rPr>
                <w:rFonts w:eastAsiaTheme="minorHAnsi"/>
                <w:sz w:val="24"/>
                <w:szCs w:val="24"/>
                <w:lang w:val="uk-UA" w:eastAsia="en-US"/>
              </w:rPr>
              <w:t>З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елені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насадження</w:t>
            </w:r>
            <w:proofErr w:type="spellEnd"/>
            <w:r w:rsidR="002A57EB" w:rsidRPr="0031705D">
              <w:rPr>
                <w:rFonts w:eastAsiaTheme="minorHAnsi"/>
                <w:sz w:val="24"/>
                <w:szCs w:val="24"/>
                <w:lang w:val="uk-UA" w:eastAsia="en-US"/>
              </w:rPr>
              <w:t xml:space="preserve"> представлені масивами багаторічних хвойних дерев </w:t>
            </w:r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.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Територія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має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підїзди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до доро</w:t>
            </w:r>
            <w:bookmarkStart w:id="0" w:name="_GoBack"/>
            <w:bookmarkEnd w:id="0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ги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місцевого</w:t>
            </w:r>
            <w:proofErr w:type="spellEnd"/>
            <w:r w:rsidR="002A57EB" w:rsidRPr="0031705D">
              <w:rPr>
                <w:rFonts w:eastAsiaTheme="minorHAnsi"/>
                <w:sz w:val="24"/>
                <w:szCs w:val="24"/>
                <w:lang w:val="uk-UA" w:eastAsia="en-US"/>
              </w:rPr>
              <w:t xml:space="preserve"> та обласного</w:t>
            </w:r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значення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2A57EB" w:rsidRPr="0031705D">
              <w:rPr>
                <w:rFonts w:eastAsiaTheme="minorHAnsi"/>
                <w:sz w:val="24"/>
                <w:szCs w:val="24"/>
                <w:lang w:val="uk-UA" w:eastAsia="en-US"/>
              </w:rPr>
              <w:t>В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одопостачання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планується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забезпечити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від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A57EB" w:rsidRPr="0031705D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запроектованої </w:t>
            </w:r>
            <w:r w:rsidR="002A57EB" w:rsidRPr="002A57EB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свердловини</w:t>
            </w:r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Відведення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поверхневих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стічних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вод, 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також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надлишкових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вод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від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поливання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проїздів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ДПТ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пропонується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здійснювати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закритою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системою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дощової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каналізації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відведенням</w:t>
            </w:r>
            <w:proofErr w:type="spellEnd"/>
            <w:proofErr w:type="gram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найбільш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забрудненої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частини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стоку на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локальні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очисні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споруди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дощової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каналізації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після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чого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воду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планується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відводити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дренажної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водойми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2A57EB" w:rsidRPr="002A57EB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2A57EB" w:rsidRPr="002A57EB">
              <w:rPr>
                <w:rFonts w:eastAsiaTheme="minorHAnsi"/>
                <w:sz w:val="24"/>
                <w:szCs w:val="24"/>
                <w:lang w:eastAsia="en-US"/>
              </w:rPr>
              <w:t>Відведення</w:t>
            </w:r>
            <w:proofErr w:type="spellEnd"/>
            <w:r w:rsidR="002A57EB"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A57EB" w:rsidRPr="002A57EB">
              <w:rPr>
                <w:rFonts w:eastAsiaTheme="minorHAnsi"/>
                <w:sz w:val="24"/>
                <w:szCs w:val="24"/>
                <w:lang w:val="uk-UA" w:eastAsia="en-US"/>
              </w:rPr>
              <w:t>побутових</w:t>
            </w:r>
            <w:r w:rsidR="002A57EB"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A57EB" w:rsidRPr="002A57EB">
              <w:rPr>
                <w:rFonts w:eastAsiaTheme="minorHAnsi"/>
                <w:sz w:val="24"/>
                <w:szCs w:val="24"/>
                <w:lang w:eastAsia="en-US"/>
              </w:rPr>
              <w:t>стічних</w:t>
            </w:r>
            <w:proofErr w:type="spellEnd"/>
            <w:r w:rsidR="002A57EB"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вод</w:t>
            </w:r>
            <w:r w:rsidR="002A57EB" w:rsidRPr="002A57EB">
              <w:rPr>
                <w:rFonts w:eastAsiaTheme="minorHAnsi"/>
                <w:sz w:val="24"/>
                <w:szCs w:val="24"/>
                <w:lang w:val="uk-UA" w:eastAsia="en-US"/>
              </w:rPr>
              <w:t xml:space="preserve"> передбачається до автономних локальних очисних споруд на </w:t>
            </w:r>
            <w:proofErr w:type="spellStart"/>
            <w:r w:rsidR="002A57EB" w:rsidRPr="002A57EB">
              <w:rPr>
                <w:rFonts w:eastAsiaTheme="minorHAnsi"/>
                <w:sz w:val="24"/>
                <w:szCs w:val="24"/>
                <w:lang w:val="uk-UA" w:eastAsia="en-US"/>
              </w:rPr>
              <w:t>територіх</w:t>
            </w:r>
            <w:proofErr w:type="spellEnd"/>
            <w:r w:rsidR="002A57EB" w:rsidRPr="002A57EB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2A57EB" w:rsidRPr="002A57EB">
              <w:rPr>
                <w:rFonts w:eastAsiaTheme="minorHAnsi"/>
                <w:sz w:val="24"/>
                <w:szCs w:val="24"/>
                <w:lang w:val="uk-UA" w:eastAsia="en-US"/>
              </w:rPr>
              <w:t>підприєств</w:t>
            </w:r>
            <w:proofErr w:type="spellEnd"/>
            <w:r w:rsidR="002A57EB" w:rsidRPr="002A57EB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  <w:p w:rsidR="00CD6839" w:rsidRPr="009B15BB" w:rsidRDefault="00CD6839" w:rsidP="00151D38">
            <w:pPr>
              <w:rPr>
                <w:color w:val="FF0000"/>
                <w:sz w:val="28"/>
                <w:szCs w:val="28"/>
              </w:rPr>
            </w:pPr>
          </w:p>
        </w:tc>
      </w:tr>
      <w:tr w:rsidR="00CD6839" w:rsidRPr="00CD6839" w:rsidTr="00CD6839">
        <w:tc>
          <w:tcPr>
            <w:tcW w:w="426" w:type="dxa"/>
          </w:tcPr>
          <w:p w:rsidR="00CD6839" w:rsidRPr="00CD6839" w:rsidRDefault="00CD6839" w:rsidP="00151D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410" w:type="dxa"/>
          </w:tcPr>
          <w:p w:rsidR="00CD6839" w:rsidRPr="00CD6839" w:rsidRDefault="00CD6839" w:rsidP="00CD683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Ймовірні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наслідки</w:t>
            </w:r>
            <w:proofErr w:type="spellEnd"/>
          </w:p>
          <w:p w:rsidR="00CD6839" w:rsidRPr="00CD6839" w:rsidRDefault="00CD6839" w:rsidP="00CD683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для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довкілля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у тому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числі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здоров'я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населення</w:t>
            </w:r>
            <w:proofErr w:type="spellEnd"/>
          </w:p>
          <w:p w:rsidR="00CD6839" w:rsidRPr="00CD6839" w:rsidRDefault="00CD6839" w:rsidP="00151D3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737D9E" w:rsidRPr="00D860D5" w:rsidRDefault="00737D9E" w:rsidP="00737D9E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а) –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викиди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забруднюючих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речовин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атмосферне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повітря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від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пересувних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джерел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забруднення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а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саме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викиди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автомобільного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транспорту та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виробничої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техніки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737D9E" w:rsidRPr="00D860D5" w:rsidRDefault="00737D9E" w:rsidP="00737D9E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ab/>
              <w:t xml:space="preserve">в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період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будівництва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об’єктів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незначний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вплив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на стан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повітря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737D9E" w:rsidRPr="00D860D5" w:rsidRDefault="00737D9E" w:rsidP="00737D9E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ab/>
              <w:t xml:space="preserve">в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процесі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експлуатації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водопостачання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із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проектованої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свердловини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визначеної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ділянки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Скид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стічних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вод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відбуватиметься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локальних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очисних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737D9E" w:rsidRPr="00D860D5" w:rsidRDefault="00737D9E" w:rsidP="00737D9E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порушення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руйнування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ґрунтів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під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час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будівництва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трансформація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шарів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землі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руху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транспортних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засобів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вібрацій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від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процесів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виробництва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які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можуть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підсилюватись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під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впливом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природних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чинників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вітру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дощових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потоків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тощо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737D9E" w:rsidRPr="00D860D5" w:rsidRDefault="00737D9E" w:rsidP="00737D9E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акустичне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забруднення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розрахунковий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гранично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допустимий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рівень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прилеглій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житловій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забудові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не повинен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перевищувати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допустимий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рівень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шуму на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населених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місць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737D9E" w:rsidRPr="00D860D5" w:rsidRDefault="00737D9E" w:rsidP="00737D9E">
            <w:pPr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ab/>
              <w:t xml:space="preserve">на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соціальне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середовище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створення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нових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робочих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місць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розвиток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інфраструктури</w:t>
            </w:r>
            <w:proofErr w:type="spellEnd"/>
            <w:r w:rsidRPr="00D860D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села.</w:t>
            </w:r>
          </w:p>
          <w:p w:rsidR="00CD6839" w:rsidRPr="00D860D5" w:rsidRDefault="00CD6839" w:rsidP="00151D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D6839" w:rsidRPr="00CD6839" w:rsidTr="00CD6839">
        <w:tc>
          <w:tcPr>
            <w:tcW w:w="426" w:type="dxa"/>
          </w:tcPr>
          <w:p w:rsidR="00CD6839" w:rsidRPr="00CD6839" w:rsidRDefault="00CD6839" w:rsidP="00151D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839" w:rsidRDefault="00CD6839" w:rsidP="00CD683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Для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територій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з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природоохоронним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статусом</w:t>
            </w:r>
            <w:proofErr w:type="spellEnd"/>
          </w:p>
          <w:p w:rsidR="00CD6839" w:rsidRPr="00CD6839" w:rsidRDefault="00CD6839" w:rsidP="00151D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737D9E" w:rsidRPr="009B15B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б) для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територій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природоохоронним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статусом –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земельна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ділянка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яка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розглядається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детальним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планом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знаходиться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поза межами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об’єктів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територій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природно-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заповідного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фонду,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отже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вплив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не </w:t>
            </w:r>
            <w:proofErr w:type="spellStart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передбачається</w:t>
            </w:r>
            <w:proofErr w:type="spellEnd"/>
            <w:r w:rsidRPr="009B15B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D6839" w:rsidRPr="009B15BB" w:rsidRDefault="00CD6839" w:rsidP="00151D38">
            <w:pPr>
              <w:rPr>
                <w:color w:val="FF0000"/>
                <w:sz w:val="28"/>
                <w:szCs w:val="28"/>
              </w:rPr>
            </w:pPr>
          </w:p>
        </w:tc>
      </w:tr>
      <w:tr w:rsidR="00CD6839" w:rsidRPr="00CD6839" w:rsidTr="00CD6839">
        <w:tc>
          <w:tcPr>
            <w:tcW w:w="426" w:type="dxa"/>
          </w:tcPr>
          <w:p w:rsidR="00CD6839" w:rsidRPr="00CD6839" w:rsidRDefault="00CD6839" w:rsidP="00151D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839" w:rsidRPr="00CD6839" w:rsidRDefault="00CD6839" w:rsidP="00CD683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Транскордонні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наслідки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довкілля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у тому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числі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здоров'я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населення</w:t>
            </w:r>
            <w:proofErr w:type="spellEnd"/>
          </w:p>
          <w:p w:rsidR="00CD6839" w:rsidRPr="00CD6839" w:rsidRDefault="00CD6839" w:rsidP="00151D3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CD6839" w:rsidRPr="009B15BB" w:rsidRDefault="00737D9E" w:rsidP="00CD6839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5BB">
              <w:rPr>
                <w:rFonts w:eastAsiaTheme="minorHAnsi"/>
                <w:sz w:val="24"/>
                <w:szCs w:val="24"/>
                <w:lang w:val="uk-UA" w:eastAsia="en-US"/>
              </w:rPr>
              <w:t xml:space="preserve">в) </w:t>
            </w:r>
            <w:proofErr w:type="spellStart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>транскордонні</w:t>
            </w:r>
            <w:proofErr w:type="spellEnd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>наслідки</w:t>
            </w:r>
            <w:proofErr w:type="spellEnd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, у тому </w:t>
            </w:r>
            <w:proofErr w:type="spellStart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>числі</w:t>
            </w:r>
            <w:proofErr w:type="spellEnd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>здоров’я</w:t>
            </w:r>
            <w:proofErr w:type="spellEnd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>населення</w:t>
            </w:r>
            <w:proofErr w:type="spellEnd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>транскордонний</w:t>
            </w:r>
            <w:proofErr w:type="spellEnd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>плив</w:t>
            </w:r>
            <w:proofErr w:type="spellEnd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>відсутній</w:t>
            </w:r>
            <w:proofErr w:type="spellEnd"/>
            <w:r w:rsidR="00CD6839" w:rsidRPr="009B15B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D6839" w:rsidRPr="009B15BB" w:rsidRDefault="00CD6839" w:rsidP="00151D38">
            <w:pPr>
              <w:rPr>
                <w:color w:val="FF0000"/>
                <w:sz w:val="28"/>
                <w:szCs w:val="28"/>
              </w:rPr>
            </w:pPr>
          </w:p>
        </w:tc>
      </w:tr>
      <w:tr w:rsidR="00CD6839" w:rsidRPr="00CD6839" w:rsidTr="00CD6839">
        <w:tc>
          <w:tcPr>
            <w:tcW w:w="426" w:type="dxa"/>
          </w:tcPr>
          <w:p w:rsidR="00CD6839" w:rsidRPr="00CD6839" w:rsidRDefault="00CD6839" w:rsidP="00151D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CD6839" w:rsidRPr="00CD6839" w:rsidRDefault="00CD6839" w:rsidP="00CD683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Виправдані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альтернативи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які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необхідно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розглянути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у тому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числі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якщо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документ державного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планування</w:t>
            </w:r>
            <w:proofErr w:type="spellEnd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не буде </w:t>
            </w:r>
            <w:proofErr w:type="spellStart"/>
            <w:r w:rsidRPr="00CD68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затверджено</w:t>
            </w:r>
            <w:proofErr w:type="spellEnd"/>
          </w:p>
          <w:p w:rsidR="00CD6839" w:rsidRPr="00CD6839" w:rsidRDefault="00CD6839" w:rsidP="00151D3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CD6839" w:rsidRPr="009B15BB" w:rsidRDefault="00737D9E" w:rsidP="00151D38">
            <w:pPr>
              <w:rPr>
                <w:color w:val="FF0000"/>
                <w:sz w:val="24"/>
                <w:szCs w:val="24"/>
              </w:rPr>
            </w:pPr>
            <w:r w:rsidRPr="009B15BB">
              <w:rPr>
                <w:sz w:val="24"/>
                <w:szCs w:val="24"/>
                <w:lang w:val="uk-UA"/>
              </w:rPr>
              <w:t>У разі не затвердження детального плану території альтернативні варіанти використання території будуть розглянуті на засіданні архітектурно-містобудівної ради при РДА Броварського району Київської області.</w:t>
            </w:r>
          </w:p>
        </w:tc>
      </w:tr>
      <w:tr w:rsidR="00CD6839" w:rsidRPr="00CD6839" w:rsidTr="00CD6839">
        <w:tc>
          <w:tcPr>
            <w:tcW w:w="426" w:type="dxa"/>
          </w:tcPr>
          <w:p w:rsidR="00CD6839" w:rsidRPr="00CD6839" w:rsidRDefault="00CD6839" w:rsidP="00151D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</w:tcPr>
          <w:p w:rsidR="00CD6839" w:rsidRPr="00CD6839" w:rsidRDefault="00CD6839" w:rsidP="00CD683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</w:pPr>
            <w:r w:rsidRPr="00CD6839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 xml:space="preserve">Дослідження, які необхідно провести, методи і критерії, що використовуватимуться </w:t>
            </w:r>
            <w:r w:rsidRPr="00CD6839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lastRenderedPageBreak/>
              <w:t>під час стратегічної екологічної оцінки</w:t>
            </w:r>
          </w:p>
          <w:p w:rsidR="00CD6839" w:rsidRPr="00CD6839" w:rsidRDefault="00CD6839" w:rsidP="00151D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Основною метою прогнозу є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оцінка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можливої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реакції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навколишнього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природного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прямий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чи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опосередкований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вплив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людини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вирішення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задач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раціонального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природокористування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відповідності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очікуваним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станом природного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здійснення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стратегічної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екологічної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оцінки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будуть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використовуватись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логічні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формалізовані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методи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прогнозування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підготовки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звіту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СЕО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передбачається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використовувати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наступну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A57E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доповіді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про стан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довкілля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A57E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статистичну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A57E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інформація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яка включена в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інші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акти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законодавства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які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мають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відношення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до проекту</w:t>
            </w:r>
            <w:proofErr w:type="gram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ДПТ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A57E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дані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моніторингу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стану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довкілля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A57E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інша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доступна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інформація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Основним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критерієм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під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час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стратегічної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екологічної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оцінки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проекту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містобудівної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документації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є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її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відповідність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державним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будівельним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нормам,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санітарним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нормам і правилам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України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законодавству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сфері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охорони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навколишнього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природного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Під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час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підготовки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звіту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стратегічної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екологічної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оцінки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визначити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доцільність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прийнятність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планованої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діяльності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обґрунтування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економічних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технічних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організаційних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санітарних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, державно-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правових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інших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заходів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щодо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безпеки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навколишнього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Розробити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комплекс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заходів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спрямований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виявлення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характеру,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інтенсивності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ступеня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небезпеки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впливу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на стан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навколишнього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здоров'я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будь-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якого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виду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планованої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господарської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діяльності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A57E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вивчити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регіональному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плані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природні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умови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яка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межує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ділянкою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розміщення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планованої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діяльності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включаючи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характеристику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поверхневих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водних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систем,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ландшафтів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рельєф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родючі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ґрунти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рослинність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ін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.), геолого-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гідрогеологічні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інших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компонентів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природного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A57E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розглянути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природні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ресурси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обмеженим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режимом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їх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в тому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числі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водоспоживання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водовідведення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забруднення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атмосферного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середовища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A57E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оцінити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можливі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зміни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природних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антропогенних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екосистемах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A57E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визначити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шляхи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мінімізації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негативного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впливу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навколишнє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середовище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A57E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зібрати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проаналізувати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об’єкти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розміщення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відходів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види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обсяги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відходів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місця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їх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накопичення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природоохоронні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споруди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експлуатаційні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можливості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A57EB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повідомити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громадськість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ефективність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проекту і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можливі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екологічні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наслідки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2A57EB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ході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СЕО провести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оцінку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факторів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ризику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потенційного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впливу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на стан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довкілля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врахувати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екологічні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завдання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місцевого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рівня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інтересах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ефективного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стабільного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соціально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економічного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розвитку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району та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підвищення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якості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життя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2A57E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D6839" w:rsidRPr="002A57EB" w:rsidRDefault="00CD6839" w:rsidP="00151D38">
            <w:pPr>
              <w:rPr>
                <w:sz w:val="28"/>
                <w:szCs w:val="28"/>
              </w:rPr>
            </w:pPr>
          </w:p>
        </w:tc>
      </w:tr>
      <w:tr w:rsidR="00CD6839" w:rsidRPr="00CD6839" w:rsidTr="00CD6839">
        <w:tc>
          <w:tcPr>
            <w:tcW w:w="426" w:type="dxa"/>
          </w:tcPr>
          <w:p w:rsidR="00CD6839" w:rsidRDefault="002C0C98" w:rsidP="00151D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410" w:type="dxa"/>
          </w:tcPr>
          <w:p w:rsidR="002C0C98" w:rsidRPr="002C0C98" w:rsidRDefault="002C0C98" w:rsidP="002C0C9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Заходи,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які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передбачається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розглянути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запобігання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зменшення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пом'якшення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негативних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наслідків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документа державного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планування</w:t>
            </w:r>
            <w:proofErr w:type="spellEnd"/>
          </w:p>
          <w:p w:rsidR="00CD6839" w:rsidRPr="002C0C98" w:rsidRDefault="00CD6839" w:rsidP="00CD683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2" w:type="dxa"/>
          </w:tcPr>
          <w:p w:rsidR="00737D9E" w:rsidRPr="0031705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705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Заходи,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які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передбачається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розглянути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запобігання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зменшення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пом’якшення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негативних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наслідків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ДПТ:</w:t>
            </w:r>
          </w:p>
          <w:p w:rsidR="00737D9E" w:rsidRPr="0031705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Зважаючи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державну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політику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галузі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енергозбереження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екологічної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безпеки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раціонального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природних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ресурсів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при </w:t>
            </w:r>
            <w:r w:rsidR="002A57EB" w:rsidRPr="0031705D">
              <w:rPr>
                <w:rFonts w:eastAsiaTheme="minorHAnsi"/>
                <w:sz w:val="24"/>
                <w:szCs w:val="24"/>
                <w:lang w:val="uk-UA" w:eastAsia="en-US"/>
              </w:rPr>
              <w:t>забудові території</w:t>
            </w:r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доцільно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максимально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повно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використовувати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сучасні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високоефективні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екоенергозберігаючі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технології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матеріали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інженерне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обладнання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високим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коефіцієнтом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корисної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дії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тощо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31705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Заходи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спрямовані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запобігання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відвернення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уникнення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зменшення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усунення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значного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негативного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впливу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навколишнє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середовище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37D9E" w:rsidRPr="0031705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облаштування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ділянок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водопровідних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споруд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бурінням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нової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свердловини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прокладка мереж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водопостачання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улаштування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локальних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очисних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споруд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очисних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споруд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відведення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поверхневого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стоку з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території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встановлення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контейнерів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збору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побутових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відходів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37D9E" w:rsidRPr="0031705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При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здійсненні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планованої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діяльності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відповідності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вимог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статті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24 Закону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України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«Про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санітарного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епідемічного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благополуччя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» з метою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відвернення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зменшення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шкідливого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впливу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здоров’я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населення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шуму,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неіонізуючих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випромінювань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інших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фізичних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факторів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будуть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розглядатися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37D9E" w:rsidRPr="0031705D" w:rsidRDefault="00737D9E" w:rsidP="00737D9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відповідні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організаційні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господарські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технічні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технологічні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архітектурно-будівельні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інші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заходи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щодо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попередження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утворення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зниження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шуму до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рівнів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установлених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>санітарними</w:t>
            </w:r>
            <w:proofErr w:type="spellEnd"/>
            <w:r w:rsidRPr="0031705D">
              <w:rPr>
                <w:rFonts w:eastAsiaTheme="minorHAnsi"/>
                <w:sz w:val="24"/>
                <w:szCs w:val="24"/>
                <w:lang w:eastAsia="en-US"/>
              </w:rPr>
              <w:t xml:space="preserve"> нормами;</w:t>
            </w:r>
          </w:p>
          <w:p w:rsidR="00CD6839" w:rsidRPr="0031705D" w:rsidRDefault="00CD6839" w:rsidP="00CD6839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D6839" w:rsidRPr="002A57EB" w:rsidTr="00CD6839">
        <w:tc>
          <w:tcPr>
            <w:tcW w:w="426" w:type="dxa"/>
          </w:tcPr>
          <w:p w:rsidR="00CD6839" w:rsidRDefault="002C0C98" w:rsidP="00151D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10" w:type="dxa"/>
          </w:tcPr>
          <w:p w:rsidR="002C0C98" w:rsidRPr="002C0C98" w:rsidRDefault="002C0C98" w:rsidP="002C0C9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Пропозиції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щодо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структури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змісту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звіту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стратегічну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екологічну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оцінку</w:t>
            </w:r>
            <w:proofErr w:type="spellEnd"/>
          </w:p>
          <w:p w:rsidR="00CD6839" w:rsidRPr="00CD6839" w:rsidRDefault="00CD6839" w:rsidP="00CD6839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7052" w:type="dxa"/>
          </w:tcPr>
          <w:p w:rsidR="002C0C98" w:rsidRPr="009B15BB" w:rsidRDefault="002C0C98" w:rsidP="002C0C98">
            <w:pPr>
              <w:tabs>
                <w:tab w:val="left" w:pos="7200"/>
              </w:tabs>
              <w:adjustRightInd w:val="0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9B15BB">
              <w:rPr>
                <w:rFonts w:eastAsiaTheme="minorHAnsi"/>
                <w:sz w:val="24"/>
                <w:szCs w:val="24"/>
                <w:lang w:val="uk-UA" w:eastAsia="en-US"/>
              </w:rPr>
              <w:t>Відповідно до статті 11 Закону України «Про стратегічну екологічну оцінку». у складі містобудівної документації звітом про стратегічну екологічну оцінку для проектів містобудівної документації є розділ «Охорона навколишнього природного середовища».</w:t>
            </w:r>
          </w:p>
          <w:p w:rsidR="00CD6839" w:rsidRPr="009B15BB" w:rsidRDefault="00CD6839" w:rsidP="00CD6839">
            <w:pPr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2C0C98" w:rsidRPr="00CD6839" w:rsidTr="00CD6839">
        <w:tc>
          <w:tcPr>
            <w:tcW w:w="426" w:type="dxa"/>
          </w:tcPr>
          <w:p w:rsidR="002C0C98" w:rsidRDefault="002C0C98" w:rsidP="00151D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</w:tcPr>
          <w:p w:rsidR="002C0C98" w:rsidRPr="002C0C98" w:rsidRDefault="002C0C98" w:rsidP="002C0C9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Орган, до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якого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подаються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зауваження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пропозиції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та строки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їх</w:t>
            </w:r>
            <w:proofErr w:type="spellEnd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0C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подання</w:t>
            </w:r>
            <w:proofErr w:type="spellEnd"/>
          </w:p>
          <w:p w:rsidR="002C0C98" w:rsidRPr="002C0C98" w:rsidRDefault="002C0C98" w:rsidP="002C0C98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2" w:type="dxa"/>
          </w:tcPr>
          <w:p w:rsidR="00737D9E" w:rsidRPr="00737D9E" w:rsidRDefault="00737D9E" w:rsidP="00737D9E">
            <w:pPr>
              <w:adjustRightInd w:val="0"/>
              <w:spacing w:before="60"/>
              <w:jc w:val="both"/>
              <w:rPr>
                <w:sz w:val="24"/>
                <w:szCs w:val="24"/>
                <w:lang w:val="uk-UA"/>
              </w:rPr>
            </w:pPr>
            <w:r w:rsidRPr="00737D9E">
              <w:rPr>
                <w:sz w:val="24"/>
                <w:szCs w:val="24"/>
                <w:lang w:val="uk-UA"/>
              </w:rPr>
              <w:t xml:space="preserve">Зауваження і пропозиції до заяви про визначення обсягу стратегічної екологічної оцінки надаються у письмовій формі до </w:t>
            </w:r>
            <w:proofErr w:type="spellStart"/>
            <w:r w:rsidRPr="00737D9E">
              <w:rPr>
                <w:sz w:val="24"/>
                <w:szCs w:val="24"/>
                <w:lang w:val="uk-UA"/>
              </w:rPr>
              <w:t>Зазимської</w:t>
            </w:r>
            <w:proofErr w:type="spellEnd"/>
            <w:r w:rsidRPr="00737D9E">
              <w:rPr>
                <w:sz w:val="24"/>
                <w:szCs w:val="24"/>
                <w:lang w:val="uk-UA"/>
              </w:rPr>
              <w:t xml:space="preserve"> сільської ради (</w:t>
            </w:r>
            <w:r w:rsidRPr="00737D9E">
              <w:rPr>
                <w:sz w:val="24"/>
                <w:szCs w:val="24"/>
                <w:shd w:val="clear" w:color="auto" w:fill="FFFFFF"/>
                <w:lang w:val="uk-UA"/>
              </w:rPr>
              <w:t>07415</w:t>
            </w:r>
            <w:r w:rsidRPr="00737D9E">
              <w:rPr>
                <w:sz w:val="24"/>
                <w:szCs w:val="24"/>
                <w:lang w:val="uk-UA"/>
              </w:rPr>
              <w:t xml:space="preserve">, Київська обл., Броварський р-н, с. </w:t>
            </w:r>
            <w:proofErr w:type="spellStart"/>
            <w:r w:rsidRPr="00737D9E">
              <w:rPr>
                <w:sz w:val="24"/>
                <w:szCs w:val="24"/>
                <w:lang w:val="uk-UA"/>
              </w:rPr>
              <w:t>Зазим’є</w:t>
            </w:r>
            <w:proofErr w:type="spellEnd"/>
            <w:r w:rsidRPr="00737D9E">
              <w:rPr>
                <w:sz w:val="24"/>
                <w:szCs w:val="24"/>
                <w:lang w:val="uk-UA"/>
              </w:rPr>
              <w:t xml:space="preserve">, </w:t>
            </w:r>
            <w:r w:rsidRPr="00737D9E">
              <w:rPr>
                <w:sz w:val="24"/>
                <w:szCs w:val="24"/>
                <w:shd w:val="clear" w:color="auto" w:fill="FFFFFF"/>
                <w:lang w:val="uk-UA"/>
              </w:rPr>
              <w:t>вул. Широка,6</w:t>
            </w:r>
            <w:r w:rsidRPr="00737D9E">
              <w:rPr>
                <w:sz w:val="24"/>
                <w:szCs w:val="24"/>
                <w:lang w:val="uk-UA"/>
              </w:rPr>
              <w:t>)</w:t>
            </w:r>
          </w:p>
          <w:p w:rsidR="00737D9E" w:rsidRPr="00737D9E" w:rsidRDefault="00737D9E" w:rsidP="00737D9E">
            <w:pPr>
              <w:adjustRightInd w:val="0"/>
              <w:spacing w:before="6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Строк </w:t>
            </w:r>
            <w:proofErr w:type="spellStart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подання</w:t>
            </w:r>
            <w:proofErr w:type="spellEnd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зауважень</w:t>
            </w:r>
            <w:proofErr w:type="spellEnd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пропозицій</w:t>
            </w:r>
            <w:proofErr w:type="spellEnd"/>
            <w:r w:rsidRPr="00737D9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 10.12.2021р по 27.12.2021р.</w:t>
            </w:r>
          </w:p>
          <w:p w:rsidR="002C0C98" w:rsidRPr="00737D9E" w:rsidRDefault="002C0C98" w:rsidP="002C0C98">
            <w:pPr>
              <w:tabs>
                <w:tab w:val="left" w:pos="7200"/>
              </w:tabs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D6839" w:rsidRPr="00CD6839" w:rsidRDefault="00CD6839" w:rsidP="00151D38">
      <w:pPr>
        <w:ind w:left="600"/>
        <w:rPr>
          <w:sz w:val="28"/>
          <w:szCs w:val="28"/>
          <w:lang w:val="uk-UA"/>
        </w:rPr>
      </w:pPr>
    </w:p>
    <w:p w:rsidR="00CD6839" w:rsidRPr="00CD6839" w:rsidRDefault="00CD6839" w:rsidP="00151D38">
      <w:pPr>
        <w:ind w:left="600"/>
        <w:rPr>
          <w:sz w:val="28"/>
          <w:szCs w:val="28"/>
          <w:lang w:val="uk-UA"/>
        </w:rPr>
      </w:pPr>
    </w:p>
    <w:p w:rsidR="00CD6839" w:rsidRDefault="00CD6839" w:rsidP="00151D38">
      <w:pPr>
        <w:ind w:left="600"/>
        <w:rPr>
          <w:sz w:val="28"/>
          <w:szCs w:val="28"/>
          <w:lang w:val="uk-UA"/>
        </w:rPr>
      </w:pPr>
    </w:p>
    <w:p w:rsidR="00737D9E" w:rsidRDefault="00737D9E" w:rsidP="00151D38">
      <w:pPr>
        <w:ind w:left="600"/>
        <w:rPr>
          <w:sz w:val="28"/>
          <w:szCs w:val="28"/>
          <w:lang w:val="uk-UA"/>
        </w:rPr>
      </w:pPr>
    </w:p>
    <w:p w:rsidR="00737D9E" w:rsidRDefault="00737D9E" w:rsidP="00151D38">
      <w:pPr>
        <w:ind w:left="600"/>
        <w:rPr>
          <w:sz w:val="28"/>
          <w:szCs w:val="28"/>
          <w:lang w:val="uk-UA"/>
        </w:rPr>
      </w:pPr>
    </w:p>
    <w:p w:rsidR="00737D9E" w:rsidRDefault="00737D9E" w:rsidP="00151D38">
      <w:pPr>
        <w:ind w:left="600"/>
        <w:rPr>
          <w:sz w:val="28"/>
          <w:szCs w:val="28"/>
          <w:lang w:val="uk-UA"/>
        </w:rPr>
      </w:pPr>
    </w:p>
    <w:p w:rsidR="00737D9E" w:rsidRPr="00CD6839" w:rsidRDefault="00737D9E" w:rsidP="00151D38">
      <w:pPr>
        <w:ind w:left="600"/>
        <w:rPr>
          <w:sz w:val="28"/>
          <w:szCs w:val="28"/>
          <w:lang w:val="uk-UA"/>
        </w:rPr>
      </w:pPr>
    </w:p>
    <w:p w:rsidR="005E0A73" w:rsidRPr="00F07E83" w:rsidRDefault="005E0A73" w:rsidP="005E0A73">
      <w:pPr>
        <w:ind w:firstLine="600"/>
        <w:rPr>
          <w:sz w:val="28"/>
          <w:szCs w:val="28"/>
          <w:lang w:val="uk-UA"/>
        </w:rPr>
      </w:pPr>
    </w:p>
    <w:p w:rsidR="005E0A73" w:rsidRPr="00DF6B9C" w:rsidRDefault="005E0A73" w:rsidP="00737D9E">
      <w:pPr>
        <w:tabs>
          <w:tab w:val="left" w:pos="284"/>
          <w:tab w:val="left" w:pos="709"/>
          <w:tab w:val="left" w:pos="993"/>
        </w:tabs>
        <w:rPr>
          <w:b/>
          <w:sz w:val="28"/>
          <w:szCs w:val="28"/>
          <w:lang w:val="uk-UA"/>
        </w:rPr>
      </w:pPr>
      <w:r w:rsidRPr="00DF6B9C">
        <w:rPr>
          <w:b/>
          <w:sz w:val="28"/>
          <w:szCs w:val="28"/>
        </w:rPr>
        <w:t>С</w:t>
      </w:r>
      <w:proofErr w:type="spellStart"/>
      <w:r w:rsidR="00737D9E">
        <w:rPr>
          <w:b/>
          <w:sz w:val="28"/>
          <w:szCs w:val="28"/>
          <w:lang w:val="uk-UA"/>
        </w:rPr>
        <w:t>ільський</w:t>
      </w:r>
      <w:proofErr w:type="spellEnd"/>
      <w:r w:rsidRPr="00DF6B9C">
        <w:rPr>
          <w:b/>
          <w:sz w:val="28"/>
          <w:szCs w:val="28"/>
        </w:rPr>
        <w:t xml:space="preserve"> </w:t>
      </w:r>
      <w:r w:rsidR="00737D9E">
        <w:rPr>
          <w:b/>
          <w:sz w:val="28"/>
          <w:szCs w:val="28"/>
          <w:lang w:val="uk-UA"/>
        </w:rPr>
        <w:t>голова</w:t>
      </w:r>
      <w:r w:rsidR="00737D9E">
        <w:rPr>
          <w:b/>
          <w:sz w:val="28"/>
          <w:szCs w:val="28"/>
          <w:lang w:val="uk-UA"/>
        </w:rPr>
        <w:tab/>
      </w:r>
      <w:r w:rsidR="00737D9E">
        <w:rPr>
          <w:b/>
          <w:sz w:val="28"/>
          <w:szCs w:val="28"/>
          <w:lang w:val="uk-UA"/>
        </w:rPr>
        <w:tab/>
      </w:r>
      <w:r w:rsidR="00737D9E">
        <w:rPr>
          <w:b/>
          <w:sz w:val="28"/>
          <w:szCs w:val="28"/>
          <w:lang w:val="uk-UA"/>
        </w:rPr>
        <w:tab/>
      </w:r>
      <w:r w:rsidR="00737D9E">
        <w:rPr>
          <w:b/>
          <w:sz w:val="28"/>
          <w:szCs w:val="28"/>
          <w:lang w:val="uk-UA"/>
        </w:rPr>
        <w:tab/>
      </w:r>
      <w:r w:rsidR="00737D9E">
        <w:rPr>
          <w:b/>
          <w:sz w:val="28"/>
          <w:szCs w:val="28"/>
          <w:lang w:val="uk-UA"/>
        </w:rPr>
        <w:tab/>
        <w:t xml:space="preserve">          </w:t>
      </w:r>
      <w:r w:rsidR="00737D9E">
        <w:rPr>
          <w:b/>
          <w:sz w:val="28"/>
          <w:szCs w:val="28"/>
          <w:lang w:val="uk-UA"/>
        </w:rPr>
        <w:tab/>
        <w:t>Віталій</w:t>
      </w:r>
      <w:r w:rsidRPr="00DF6B9C">
        <w:rPr>
          <w:b/>
          <w:sz w:val="28"/>
          <w:szCs w:val="28"/>
          <w:lang w:val="uk-UA"/>
        </w:rPr>
        <w:t xml:space="preserve"> </w:t>
      </w:r>
      <w:r w:rsidR="00737D9E">
        <w:rPr>
          <w:b/>
          <w:sz w:val="28"/>
          <w:szCs w:val="28"/>
          <w:lang w:val="uk-UA"/>
        </w:rPr>
        <w:t>КРУПЕНКО</w:t>
      </w:r>
    </w:p>
    <w:p w:rsidR="005E0A73" w:rsidRDefault="005E0A73" w:rsidP="005E0A73">
      <w:pPr>
        <w:tabs>
          <w:tab w:val="left" w:pos="284"/>
          <w:tab w:val="left" w:pos="709"/>
          <w:tab w:val="left" w:pos="993"/>
          <w:tab w:val="left" w:pos="6600"/>
        </w:tabs>
        <w:jc w:val="both"/>
        <w:rPr>
          <w:sz w:val="16"/>
          <w:szCs w:val="16"/>
        </w:rPr>
      </w:pPr>
    </w:p>
    <w:p w:rsidR="00B71EFC" w:rsidRPr="00CD6839" w:rsidRDefault="00B71EFC" w:rsidP="00CD6839">
      <w:pPr>
        <w:widowControl w:val="0"/>
        <w:jc w:val="both"/>
        <w:rPr>
          <w:sz w:val="16"/>
          <w:szCs w:val="16"/>
          <w:lang w:val="uk-UA"/>
        </w:rPr>
      </w:pPr>
    </w:p>
    <w:sectPr w:rsidR="00B71EFC" w:rsidRPr="00CD6839" w:rsidSect="00696AC0">
      <w:headerReference w:type="default" r:id="rId8"/>
      <w:headerReference w:type="firs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ED" w:rsidRDefault="00851BED" w:rsidP="005E0A73">
      <w:r>
        <w:separator/>
      </w:r>
    </w:p>
  </w:endnote>
  <w:endnote w:type="continuationSeparator" w:id="0">
    <w:p w:rsidR="00851BED" w:rsidRDefault="00851BED" w:rsidP="005E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ED" w:rsidRDefault="00851BED" w:rsidP="005E0A73">
      <w:r>
        <w:separator/>
      </w:r>
    </w:p>
  </w:footnote>
  <w:footnote w:type="continuationSeparator" w:id="0">
    <w:p w:rsidR="00851BED" w:rsidRDefault="00851BED" w:rsidP="005E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39" w:rsidRPr="00693B75" w:rsidRDefault="00CD6839">
    <w:pPr>
      <w:pStyle w:val="a7"/>
      <w:rPr>
        <w:lang w:val="uk-UA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39" w:rsidRPr="005E0A73" w:rsidRDefault="00CD6839" w:rsidP="00696AC0">
    <w:pPr>
      <w:pStyle w:val="a7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>Додаток 1</w:t>
    </w:r>
  </w:p>
  <w:p w:rsidR="00CD6839" w:rsidRPr="00696AC0" w:rsidRDefault="00CD6839" w:rsidP="00696A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0531"/>
    <w:multiLevelType w:val="hybridMultilevel"/>
    <w:tmpl w:val="C6C2AC28"/>
    <w:lvl w:ilvl="0" w:tplc="4B64BE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F7C011F"/>
    <w:multiLevelType w:val="multilevel"/>
    <w:tmpl w:val="690C5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4C"/>
    <w:rsid w:val="00020A32"/>
    <w:rsid w:val="00030113"/>
    <w:rsid w:val="0003421F"/>
    <w:rsid w:val="000515AF"/>
    <w:rsid w:val="000659E7"/>
    <w:rsid w:val="00087046"/>
    <w:rsid w:val="00095E56"/>
    <w:rsid w:val="001324E8"/>
    <w:rsid w:val="001356A9"/>
    <w:rsid w:val="00151D38"/>
    <w:rsid w:val="001908E6"/>
    <w:rsid w:val="00195798"/>
    <w:rsid w:val="001C6A9A"/>
    <w:rsid w:val="001C6B3F"/>
    <w:rsid w:val="001F2265"/>
    <w:rsid w:val="001F6587"/>
    <w:rsid w:val="00222A10"/>
    <w:rsid w:val="0022626C"/>
    <w:rsid w:val="00264E56"/>
    <w:rsid w:val="00286709"/>
    <w:rsid w:val="00291445"/>
    <w:rsid w:val="002A57EB"/>
    <w:rsid w:val="002C0C98"/>
    <w:rsid w:val="002E6FF8"/>
    <w:rsid w:val="002F3E7D"/>
    <w:rsid w:val="00304407"/>
    <w:rsid w:val="0030704C"/>
    <w:rsid w:val="00315E4D"/>
    <w:rsid w:val="0031705D"/>
    <w:rsid w:val="0033769B"/>
    <w:rsid w:val="0034571F"/>
    <w:rsid w:val="0038069A"/>
    <w:rsid w:val="003932BE"/>
    <w:rsid w:val="003C2714"/>
    <w:rsid w:val="003C5374"/>
    <w:rsid w:val="003E071C"/>
    <w:rsid w:val="004A33F2"/>
    <w:rsid w:val="004E4319"/>
    <w:rsid w:val="00500F8E"/>
    <w:rsid w:val="00514082"/>
    <w:rsid w:val="005478FA"/>
    <w:rsid w:val="005546A4"/>
    <w:rsid w:val="005E0A73"/>
    <w:rsid w:val="005F0ADC"/>
    <w:rsid w:val="0061341B"/>
    <w:rsid w:val="00634DFD"/>
    <w:rsid w:val="00693B75"/>
    <w:rsid w:val="00696AC0"/>
    <w:rsid w:val="006A7DE9"/>
    <w:rsid w:val="006D324F"/>
    <w:rsid w:val="006F47E2"/>
    <w:rsid w:val="00706FF2"/>
    <w:rsid w:val="00737D9E"/>
    <w:rsid w:val="0074411A"/>
    <w:rsid w:val="00781A70"/>
    <w:rsid w:val="007861C9"/>
    <w:rsid w:val="007E08E4"/>
    <w:rsid w:val="00847A1B"/>
    <w:rsid w:val="00851BED"/>
    <w:rsid w:val="00855ED2"/>
    <w:rsid w:val="008767A3"/>
    <w:rsid w:val="00881D25"/>
    <w:rsid w:val="008847E2"/>
    <w:rsid w:val="00895125"/>
    <w:rsid w:val="0089576F"/>
    <w:rsid w:val="0089742B"/>
    <w:rsid w:val="008D4174"/>
    <w:rsid w:val="008D77B4"/>
    <w:rsid w:val="009131CA"/>
    <w:rsid w:val="0091436E"/>
    <w:rsid w:val="00962BBD"/>
    <w:rsid w:val="009642F6"/>
    <w:rsid w:val="00965C8B"/>
    <w:rsid w:val="009803FC"/>
    <w:rsid w:val="00987C31"/>
    <w:rsid w:val="009B15BB"/>
    <w:rsid w:val="009C077C"/>
    <w:rsid w:val="009D36BA"/>
    <w:rsid w:val="00A30C21"/>
    <w:rsid w:val="00A60BA2"/>
    <w:rsid w:val="00A6660E"/>
    <w:rsid w:val="00A767D2"/>
    <w:rsid w:val="00AA6560"/>
    <w:rsid w:val="00AA7D3B"/>
    <w:rsid w:val="00AD3E48"/>
    <w:rsid w:val="00AF3300"/>
    <w:rsid w:val="00B16ADE"/>
    <w:rsid w:val="00B20EAD"/>
    <w:rsid w:val="00B30AB2"/>
    <w:rsid w:val="00B5180B"/>
    <w:rsid w:val="00B71EFC"/>
    <w:rsid w:val="00B746B5"/>
    <w:rsid w:val="00BD4994"/>
    <w:rsid w:val="00BD61BC"/>
    <w:rsid w:val="00BF5C13"/>
    <w:rsid w:val="00C434E4"/>
    <w:rsid w:val="00C604C7"/>
    <w:rsid w:val="00CD6839"/>
    <w:rsid w:val="00CE0395"/>
    <w:rsid w:val="00CF06B3"/>
    <w:rsid w:val="00D5657A"/>
    <w:rsid w:val="00D577E9"/>
    <w:rsid w:val="00D751B8"/>
    <w:rsid w:val="00D82E7E"/>
    <w:rsid w:val="00D860D5"/>
    <w:rsid w:val="00DB4699"/>
    <w:rsid w:val="00DD7C48"/>
    <w:rsid w:val="00DF6B9C"/>
    <w:rsid w:val="00E06930"/>
    <w:rsid w:val="00E32811"/>
    <w:rsid w:val="00E368DC"/>
    <w:rsid w:val="00EA5882"/>
    <w:rsid w:val="00EB24A0"/>
    <w:rsid w:val="00F07E83"/>
    <w:rsid w:val="00F347A3"/>
    <w:rsid w:val="00F67FBF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77FF6"/>
  <w15:docId w15:val="{15F366A9-6AC5-416F-AB33-C2961FF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704C"/>
    <w:pPr>
      <w:keepNext/>
      <w:tabs>
        <w:tab w:val="left" w:pos="1953"/>
      </w:tabs>
      <w:autoSpaceDE/>
      <w:autoSpaceDN/>
      <w:jc w:val="center"/>
      <w:outlineLvl w:val="0"/>
    </w:pPr>
    <w:rPr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30704C"/>
    <w:pPr>
      <w:keepNext/>
      <w:autoSpaceDE/>
      <w:autoSpaceDN/>
      <w:outlineLvl w:val="1"/>
    </w:pPr>
    <w:rPr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04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0704C"/>
    <w:rPr>
      <w:rFonts w:ascii="Times New Roman" w:eastAsia="Times New Roman" w:hAnsi="Times New Roman" w:cs="Times New Roman"/>
      <w:sz w:val="20"/>
      <w:szCs w:val="24"/>
      <w:u w:val="single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30704C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xfmc1">
    <w:name w:val="xfmc1"/>
    <w:basedOn w:val="a"/>
    <w:rsid w:val="00E0693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69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7D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DE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nhideWhenUsed/>
    <w:rsid w:val="001C6B3F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Верхний колонтитул Знак"/>
    <w:basedOn w:val="a0"/>
    <w:link w:val="a7"/>
    <w:rsid w:val="001C6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E0A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F0AD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93B75"/>
    <w:pPr>
      <w:ind w:left="720"/>
      <w:contextualSpacing/>
    </w:pPr>
  </w:style>
  <w:style w:type="table" w:styleId="ad">
    <w:name w:val="Table Grid"/>
    <w:basedOn w:val="a1"/>
    <w:uiPriority w:val="59"/>
    <w:rsid w:val="0069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2E16-D7FB-48AA-8EF5-F946C41C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Lavro</cp:lastModifiedBy>
  <cp:revision>7</cp:revision>
  <cp:lastPrinted>2021-04-30T10:15:00Z</cp:lastPrinted>
  <dcterms:created xsi:type="dcterms:W3CDTF">2021-12-02T11:56:00Z</dcterms:created>
  <dcterms:modified xsi:type="dcterms:W3CDTF">2021-12-08T07:31:00Z</dcterms:modified>
</cp:coreProperties>
</file>